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5A3695F8">
      <w:pPr>
        <w:pStyle w:val="12"/>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TSCG202511008 </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泰顺县人民医院（泰顺县人民医院医共体）检测项目外送服务 </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泰顺县人民医院（泰顺县人民医院医共体）</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14A90236">
      <w:pPr>
        <w:jc w:val="center"/>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十一</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692991AC">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w:t>
      </w:r>
      <w:r>
        <w:rPr>
          <w:rFonts w:hint="eastAsia" w:ascii="宋体" w:hAnsi="宋体" w:cs="新宋体"/>
          <w:b/>
          <w:bCs/>
          <w:color w:val="auto"/>
          <w:sz w:val="22"/>
          <w:szCs w:val="22"/>
          <w:highlight w:val="none"/>
          <w:u w:val="single"/>
          <w:lang w:eastAsia="zh-CN"/>
        </w:rPr>
        <w:t>，</w:t>
      </w:r>
      <w:r>
        <w:rPr>
          <w:rFonts w:hint="eastAsia" w:ascii="宋体" w:hAnsi="宋体" w:cs="新宋体"/>
          <w:b/>
          <w:bCs/>
          <w:color w:val="auto"/>
          <w:sz w:val="22"/>
          <w:szCs w:val="22"/>
          <w:highlight w:val="none"/>
          <w:u w:val="single"/>
        </w:rPr>
        <w:t>着重提醒各供应商必须响应。各供应商必须认真阅读和理解招标文件中的每一个条款及要求，因误读招标文件而造成的后果，采购人概不负责。</w:t>
      </w:r>
    </w:p>
    <w:p w14:paraId="5FF4A954">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73083A55">
      <w:pPr>
        <w:spacing w:line="400" w:lineRule="exact"/>
        <w:ind w:firstLine="501" w:firstLineChars="225"/>
        <w:rPr>
          <w:rFonts w:ascii="宋体" w:hAnsi="宋体" w:cs="宋体"/>
          <w:color w:val="auto"/>
          <w:sz w:val="22"/>
          <w:szCs w:val="22"/>
          <w:highlight w:val="none"/>
        </w:rPr>
      </w:pPr>
    </w:p>
    <w:p w14:paraId="79AFDA0B">
      <w:pPr>
        <w:pStyle w:val="12"/>
        <w:rPr>
          <w:rFonts w:ascii="宋体" w:hAnsi="宋体" w:cs="宋体"/>
          <w:color w:val="auto"/>
          <w:sz w:val="22"/>
          <w:szCs w:val="22"/>
          <w:highlight w:val="none"/>
        </w:rPr>
      </w:pPr>
    </w:p>
    <w:p w14:paraId="36748CAF">
      <w:pPr>
        <w:pStyle w:val="24"/>
        <w:rPr>
          <w:color w:val="auto"/>
          <w:highlight w:val="none"/>
        </w:rPr>
      </w:pPr>
    </w:p>
    <w:p w14:paraId="0C18B525">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泰顺县人民医院（泰顺县人民医院医共体）检测项目外送服务</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2D0032B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0B1BFFB">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泰顺县人民医院（泰顺县人民医院医共体）检测项目外送服务 </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11月28日09</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（北京时间）前提交</w:t>
            </w:r>
            <w:r>
              <w:rPr>
                <w:rFonts w:hint="eastAsia" w:ascii="仿宋" w:hAnsi="仿宋" w:eastAsia="仿宋" w:cs="仿宋"/>
                <w:color w:val="auto"/>
                <w:highlight w:val="none"/>
                <w:lang w:val="en-US" w:eastAsia="zh-CN"/>
              </w:rPr>
              <w:t>纸质投标（响应）</w:t>
            </w:r>
            <w:r>
              <w:rPr>
                <w:rFonts w:hint="eastAsia" w:ascii="仿宋" w:hAnsi="仿宋" w:eastAsia="仿宋" w:cs="仿宋"/>
                <w:color w:val="auto"/>
                <w:highlight w:val="none"/>
              </w:rPr>
              <w:t xml:space="preserve">文件。    </w:t>
            </w:r>
          </w:p>
        </w:tc>
      </w:tr>
    </w:tbl>
    <w:p w14:paraId="0F6A2E0D">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05185582">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791A095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 xml:space="preserve">TSCG202511008 </w:t>
      </w:r>
      <w:r>
        <w:rPr>
          <w:rFonts w:hint="eastAsia" w:ascii="仿宋" w:hAnsi="仿宋" w:eastAsia="仿宋" w:cs="仿宋"/>
          <w:color w:val="auto"/>
          <w:highlight w:val="none"/>
        </w:rPr>
        <w:t> </w:t>
      </w:r>
    </w:p>
    <w:p w14:paraId="075F3237">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b w:val="0"/>
          <w:bCs w:val="0"/>
          <w:color w:val="auto"/>
          <w:sz w:val="24"/>
          <w:szCs w:val="24"/>
          <w:highlight w:val="none"/>
          <w:lang w:eastAsia="zh-CN"/>
        </w:rPr>
        <w:t>泰顺县人民医院（泰顺县人民医院医共体）检测项目外送服务 </w:t>
      </w:r>
    </w:p>
    <w:p w14:paraId="489946AE">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6900000</w:t>
      </w:r>
      <w:r>
        <w:rPr>
          <w:rFonts w:hint="eastAsia" w:ascii="仿宋" w:hAnsi="仿宋" w:eastAsia="仿宋" w:cs="仿宋"/>
          <w:color w:val="auto"/>
          <w:highlight w:val="none"/>
        </w:rPr>
        <w:t> </w:t>
      </w:r>
    </w:p>
    <w:p w14:paraId="5EFA5D25">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最高限价（元）：</w:t>
      </w:r>
      <w:r>
        <w:rPr>
          <w:rFonts w:hint="eastAsia" w:ascii="仿宋" w:hAnsi="仿宋" w:eastAsia="仿宋" w:cs="仿宋"/>
          <w:color w:val="auto"/>
          <w:highlight w:val="none"/>
          <w:lang w:val="en-US" w:eastAsia="zh-CN"/>
        </w:rPr>
        <w:t>（标项一）3000000，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标项二</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3900000</w:t>
      </w:r>
    </w:p>
    <w:p w14:paraId="56F146E5">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4A695EB5">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7C26CFDD">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标项一 </w:t>
      </w:r>
    </w:p>
    <w:p w14:paraId="524562CA">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：质谱、微量元素、维生素等检测项目外送</w:t>
      </w:r>
    </w:p>
    <w:p w14:paraId="56F21D1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7834113E">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3000000 </w:t>
      </w:r>
    </w:p>
    <w:p w14:paraId="7A44086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4EDE29BA">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简要规格描述：</w:t>
      </w:r>
      <w:r>
        <w:rPr>
          <w:rFonts w:hint="eastAsia" w:ascii="仿宋" w:hAnsi="仿宋" w:eastAsia="仿宋" w:cs="仿宋"/>
          <w:color w:val="auto"/>
          <w:highlight w:val="none"/>
          <w:lang w:eastAsia="zh-CN"/>
        </w:rPr>
        <w:t>质谱、微量元素、维生素等检测项目外送。</w:t>
      </w:r>
      <w:r>
        <w:rPr>
          <w:rFonts w:hint="eastAsia" w:ascii="仿宋" w:hAnsi="仿宋" w:eastAsia="仿宋" w:cs="仿宋"/>
          <w:color w:val="auto"/>
          <w:highlight w:val="none"/>
        </w:rPr>
        <w:t> </w:t>
      </w:r>
    </w:p>
    <w:p w14:paraId="13E819D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206E7D5B">
      <w:pPr>
        <w:pStyle w:val="27"/>
        <w:widowControl/>
        <w:spacing w:before="75" w:beforeAutospacing="0" w:after="75" w:afterAutospacing="0" w:line="315" w:lineRule="atLeast"/>
        <w:rPr>
          <w:color w:val="auto"/>
          <w:highlight w:val="none"/>
        </w:rPr>
      </w:pPr>
      <w:r>
        <w:rPr>
          <w:rFonts w:hint="eastAsia" w:ascii="仿宋" w:hAnsi="仿宋" w:eastAsia="仿宋" w:cs="仿宋"/>
          <w:color w:val="auto"/>
          <w:highlight w:val="none"/>
        </w:rPr>
        <w:t> </w:t>
      </w:r>
    </w:p>
    <w:p w14:paraId="0A24E56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标项二 </w:t>
      </w:r>
    </w:p>
    <w:p w14:paraId="74850649">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：抗感染细胞功能检测项目等检测项目外送</w:t>
      </w:r>
    </w:p>
    <w:p w14:paraId="35E4E6EF">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数量：1       </w:t>
      </w:r>
    </w:p>
    <w:p w14:paraId="18224731">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 xml:space="preserve"> 3900000 </w:t>
      </w:r>
    </w:p>
    <w:p w14:paraId="79C3DAEA">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58595E24">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简要规格描述：</w:t>
      </w:r>
      <w:r>
        <w:rPr>
          <w:rFonts w:hint="eastAsia" w:ascii="仿宋" w:hAnsi="仿宋" w:eastAsia="仿宋" w:cs="仿宋"/>
          <w:color w:val="auto"/>
          <w:highlight w:val="none"/>
          <w:lang w:eastAsia="zh-CN"/>
        </w:rPr>
        <w:t>抗感染细胞功能检测项目等检测项目外送。</w:t>
      </w:r>
      <w:r>
        <w:rPr>
          <w:rFonts w:hint="eastAsia" w:ascii="仿宋" w:hAnsi="仿宋" w:eastAsia="仿宋" w:cs="仿宋"/>
          <w:color w:val="auto"/>
          <w:highlight w:val="none"/>
        </w:rPr>
        <w:t> </w:t>
      </w:r>
    </w:p>
    <w:p w14:paraId="3E6DC9CE">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备注： </w:t>
      </w:r>
    </w:p>
    <w:p w14:paraId="31825A89">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合同履约期限：标项 1、2</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本次预算为3年服务费用，本项目</w:t>
      </w:r>
      <w:r>
        <w:rPr>
          <w:rFonts w:hint="eastAsia" w:ascii="仿宋" w:hAnsi="仿宋" w:eastAsia="仿宋" w:cs="仿宋"/>
          <w:color w:val="auto"/>
          <w:highlight w:val="none"/>
        </w:rPr>
        <w:t>采用1+1+1形式，</w:t>
      </w:r>
      <w:r>
        <w:rPr>
          <w:rFonts w:hint="eastAsia" w:ascii="仿宋" w:hAnsi="仿宋" w:eastAsia="仿宋" w:cs="仿宋"/>
          <w:color w:val="auto"/>
          <w:highlight w:val="none"/>
          <w:lang w:val="en-US" w:eastAsia="zh-CN"/>
        </w:rPr>
        <w:t>详见</w:t>
      </w:r>
      <w:r>
        <w:rPr>
          <w:rFonts w:hint="eastAsia" w:ascii="仿宋" w:hAnsi="仿宋" w:eastAsia="仿宋" w:cs="仿宋"/>
          <w:color w:val="auto"/>
          <w:highlight w:val="none"/>
        </w:rPr>
        <w:t>招标文件规定。</w:t>
      </w:r>
    </w:p>
    <w:p w14:paraId="0F59DB6B">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25A53894">
      <w:pPr>
        <w:pStyle w:val="27"/>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122A41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EEFE2BE">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w:t>
      </w:r>
    </w:p>
    <w:p w14:paraId="243F56D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 </w:t>
      </w:r>
    </w:p>
    <w:p w14:paraId="437DDE0B">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3CD34F71">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11月28日</w:t>
      </w:r>
      <w:r>
        <w:rPr>
          <w:rFonts w:hint="eastAsia" w:ascii="仿宋" w:hAnsi="仿宋" w:eastAsia="仿宋" w:cs="仿宋"/>
          <w:color w:val="auto"/>
          <w:highlight w:val="none"/>
        </w:rPr>
        <w:t>，每天上午00:00至12:00 ，下午12:00至23:59（北京时间，线上获取法定节假日均可，线下获取文件法定节假日除外）</w:t>
      </w:r>
    </w:p>
    <w:p w14:paraId="6EBDDF7A">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FEDA99E">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方式：</w:t>
      </w:r>
      <w:r>
        <w:rPr>
          <w:rFonts w:hint="eastAsia" w:ascii="仿宋" w:hAnsi="仿宋" w:eastAsia="仿宋" w:cs="仿宋"/>
          <w:color w:val="auto"/>
          <w:highlight w:val="none"/>
          <w:lang w:val="en-US" w:eastAsia="zh-CN"/>
        </w:rPr>
        <w:t>线上</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发送报名材料至</w:t>
      </w:r>
      <w:r>
        <w:rPr>
          <w:rFonts w:hint="eastAsia" w:ascii="仿宋" w:hAnsi="仿宋" w:eastAsia="仿宋" w:cs="仿宋"/>
          <w:color w:val="auto"/>
          <w:highlight w:val="none"/>
          <w:lang w:eastAsia="zh-CN"/>
        </w:rPr>
        <w:t>电子邮箱：电子邮箱329514336@qq.com）</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线下报名。</w:t>
      </w:r>
      <w:r>
        <w:rPr>
          <w:rFonts w:hint="eastAsia" w:ascii="仿宋" w:hAnsi="仿宋" w:eastAsia="仿宋" w:cs="仿宋"/>
          <w:color w:val="auto"/>
          <w:highlight w:val="none"/>
        </w:rPr>
        <w:t> </w:t>
      </w:r>
    </w:p>
    <w:p w14:paraId="7E61F9C3">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6ABE39D">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1ADC2E52">
      <w:pPr>
        <w:pStyle w:val="27"/>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提交投标文件截止时间：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11月28日</w:t>
      </w:r>
      <w:r>
        <w:rPr>
          <w:rFonts w:hint="eastAsia" w:ascii="仿宋" w:hAnsi="仿宋" w:eastAsia="仿宋" w:cs="仿宋"/>
          <w:color w:val="auto"/>
          <w:highlight w:val="none"/>
          <w:lang w:eastAsia="zh-CN"/>
        </w:rPr>
        <w:t xml:space="preserve"> 09:00</w:t>
      </w:r>
      <w:r>
        <w:rPr>
          <w:rFonts w:hint="eastAsia" w:ascii="仿宋" w:hAnsi="仿宋" w:eastAsia="仿宋" w:cs="仿宋"/>
          <w:color w:val="auto"/>
          <w:highlight w:val="none"/>
        </w:rPr>
        <w:t>（北京时间）</w:t>
      </w:r>
    </w:p>
    <w:p w14:paraId="49C9F6D0">
      <w:pPr>
        <w:pStyle w:val="27"/>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投标地点（网址）：泰顺县公共资源交易中心五楼开标室（温州市泰顺县罗阳镇新城大道123号）</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允许以邮寄形式递交，递交地址同上</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3C4F335E">
      <w:pPr>
        <w:pStyle w:val="27"/>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11月28日</w:t>
      </w:r>
      <w:r>
        <w:rPr>
          <w:rFonts w:hint="eastAsia" w:ascii="仿宋" w:hAnsi="仿宋" w:eastAsia="仿宋" w:cs="仿宋"/>
          <w:color w:val="auto"/>
          <w:highlight w:val="none"/>
          <w:lang w:eastAsia="zh-CN"/>
        </w:rPr>
        <w:t xml:space="preserve"> 09:00</w:t>
      </w:r>
    </w:p>
    <w:p w14:paraId="07053A0C">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钉钉</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软件直播</w:t>
      </w:r>
      <w:r>
        <w:rPr>
          <w:rFonts w:hint="eastAsia" w:ascii="仿宋" w:hAnsi="仿宋" w:eastAsia="仿宋" w:cs="仿宋"/>
          <w:color w:val="auto"/>
          <w:sz w:val="22"/>
          <w:szCs w:val="22"/>
          <w:highlight w:val="none"/>
        </w:rPr>
        <w:t>开标</w:t>
      </w:r>
      <w:r>
        <w:rPr>
          <w:rFonts w:hint="eastAsia" w:ascii="仿宋" w:hAnsi="仿宋" w:eastAsia="仿宋" w:cs="仿宋"/>
          <w:color w:val="auto"/>
          <w:highlight w:val="none"/>
        </w:rPr>
        <w:t>  </w:t>
      </w:r>
    </w:p>
    <w:p w14:paraId="258FAEE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6D1BDAEA">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228CE81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198DDFE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2.根据《浙江省财政厅关于进一步促进政府采购公平竞争打造最优营商环境的通知》（浙财采监（2021）22号）文件关于“健全行政裁决机制”要求，鼓励供应商线上提起询问。</w:t>
      </w:r>
    </w:p>
    <w:p w14:paraId="11D58DB6">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函范本、投诉书范本请到浙江政府采购网下载专区下载。</w:t>
      </w:r>
    </w:p>
    <w:p w14:paraId="4FE5FA6F">
      <w:pPr>
        <w:pStyle w:val="27"/>
        <w:widowControl/>
        <w:spacing w:before="75" w:beforeAutospacing="0" w:after="75" w:afterAutospacing="0" w:line="300" w:lineRule="atLeast"/>
        <w:ind w:firstLine="486" w:firstLineChars="200"/>
        <w:rPr>
          <w:rFonts w:hint="default" w:ascii="仿宋" w:hAnsi="仿宋" w:eastAsia="仿宋" w:cs="仿宋"/>
          <w:color w:val="auto"/>
          <w:highlight w:val="none"/>
          <w:lang w:val="en-US"/>
        </w:rPr>
      </w:pPr>
      <w:r>
        <w:rPr>
          <w:rFonts w:hint="eastAsia" w:ascii="仿宋" w:hAnsi="仿宋" w:eastAsia="仿宋" w:cs="仿宋"/>
          <w:color w:val="auto"/>
          <w:highlight w:val="none"/>
          <w:lang w:val="en-US" w:eastAsia="zh-CN"/>
        </w:rPr>
        <w:t>4.其他事项：/。</w:t>
      </w:r>
    </w:p>
    <w:p w14:paraId="4B14DCED">
      <w:pPr>
        <w:pStyle w:val="27"/>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327E8F58">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1.采购人信息</w:t>
      </w:r>
    </w:p>
    <w:p w14:paraId="2C7A5E48">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名    称：泰顺县人民医院（泰顺县人民医院医共体） </w:t>
      </w:r>
    </w:p>
    <w:p w14:paraId="481808DD">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址：温州市泰顺县罗阳镇</w:t>
      </w:r>
      <w:r>
        <w:rPr>
          <w:rFonts w:hint="eastAsia" w:ascii="仿宋" w:hAnsi="仿宋" w:eastAsia="仿宋" w:cs="仿宋"/>
          <w:color w:val="auto"/>
          <w:highlight w:val="none"/>
          <w:lang w:val="en-US" w:eastAsia="zh-CN"/>
        </w:rPr>
        <w:t>新城大道195</w:t>
      </w:r>
      <w:r>
        <w:rPr>
          <w:rFonts w:hint="eastAsia" w:ascii="仿宋" w:hAnsi="仿宋" w:eastAsia="仿宋" w:cs="仿宋"/>
          <w:color w:val="auto"/>
          <w:highlight w:val="none"/>
          <w:lang w:eastAsia="zh-CN"/>
        </w:rPr>
        <w:t>号</w:t>
      </w:r>
    </w:p>
    <w:p w14:paraId="1B61B3F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 </w:t>
      </w:r>
    </w:p>
    <w:p w14:paraId="30C5C884">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项目联系人（询问）：彭先生 </w:t>
      </w:r>
    </w:p>
    <w:p w14:paraId="34CA99CE">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项目联系方式（询问）：0577-59286043  </w:t>
      </w:r>
    </w:p>
    <w:p w14:paraId="7A19E3DE">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质疑联系人：谢先生 </w:t>
      </w:r>
    </w:p>
    <w:p w14:paraId="414F824F">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质疑联系方式：0577-59286043</w:t>
      </w:r>
      <w:r>
        <w:rPr>
          <w:rFonts w:hint="eastAsia" w:ascii="仿宋" w:hAnsi="仿宋" w:eastAsia="仿宋" w:cs="仿宋"/>
          <w:color w:val="auto"/>
          <w:highlight w:val="none"/>
          <w:lang w:eastAsia="zh-CN"/>
        </w:rPr>
        <w:t> </w:t>
      </w:r>
    </w:p>
    <w:p w14:paraId="5A932682">
      <w:pPr>
        <w:pStyle w:val="27"/>
        <w:widowControl/>
        <w:spacing w:before="75" w:beforeAutospacing="0" w:after="75" w:afterAutospacing="0" w:line="300" w:lineRule="atLeast"/>
        <w:rPr>
          <w:rFonts w:hint="eastAsia"/>
          <w:color w:val="auto"/>
          <w:highlight w:val="none"/>
          <w:lang w:eastAsia="zh-CN"/>
        </w:rPr>
      </w:pPr>
      <w:r>
        <w:rPr>
          <w:rFonts w:hint="eastAsia"/>
          <w:color w:val="auto"/>
          <w:highlight w:val="none"/>
        </w:rPr>
        <w:t>    </w:t>
      </w:r>
    </w:p>
    <w:p w14:paraId="789DD35A">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9BC9059">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称：杭州华旗招标代理有限公司             </w:t>
      </w:r>
    </w:p>
    <w:p w14:paraId="43CA4B15">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地    址：温州市泰顺县罗阳镇文祥大道电网弄1号301（县交通运输管理中心隔壁） </w:t>
      </w:r>
    </w:p>
    <w:p w14:paraId="29691C9F">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传    真：  </w:t>
      </w:r>
    </w:p>
    <w:p w14:paraId="2052AD6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项目联系人（询问）：翁爱霜 </w:t>
      </w:r>
    </w:p>
    <w:p w14:paraId="3F37EAA8">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项目联系方式（询问）：17858065131 </w:t>
      </w:r>
    </w:p>
    <w:p w14:paraId="14DBE83C">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质疑联系人：苏红 </w:t>
      </w:r>
    </w:p>
    <w:p w14:paraId="7E60A73B">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lang w:eastAsia="zh-CN"/>
        </w:rPr>
        <w:t>    质疑联系方式：</w:t>
      </w:r>
      <w:r>
        <w:rPr>
          <w:rFonts w:hint="eastAsia" w:ascii="仿宋" w:hAnsi="仿宋" w:eastAsia="仿宋" w:cs="仿宋"/>
          <w:color w:val="auto"/>
          <w:highlight w:val="none"/>
          <w:lang w:val="en-US" w:eastAsia="zh-CN"/>
        </w:rPr>
        <w:t>15888799321</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552E331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0669CADB">
      <w:pPr>
        <w:tabs>
          <w:tab w:val="left" w:pos="1080"/>
          <w:tab w:val="left" w:pos="1426"/>
          <w:tab w:val="center" w:pos="4768"/>
        </w:tabs>
        <w:autoSpaceDE w:val="0"/>
        <w:autoSpaceDN w:val="0"/>
        <w:adjustRightInd w:val="0"/>
        <w:spacing w:line="500" w:lineRule="atLeast"/>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B384ED7">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91D9FFB">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6E75E6C3">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21D104C5">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81BF90C">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1F61D247">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4ADF9D71">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CBE20F0">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461AA2E1">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泰顺县人民医院（泰顺县人民医院医共体）检测项目外送服务 </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 xml:space="preserve">TSCG202511008 </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hint="default" w:ascii="宋体" w:eastAsia="宋体" w:cs="Arial"/>
                <w:color w:val="auto"/>
                <w:sz w:val="22"/>
                <w:szCs w:val="22"/>
                <w:highlight w:val="none"/>
                <w:lang w:val="en-US" w:eastAsia="zh-CN"/>
              </w:rPr>
            </w:pPr>
            <w:r>
              <w:rPr>
                <w:rFonts w:hint="eastAsia" w:ascii="宋体"/>
                <w:color w:val="auto"/>
                <w:sz w:val="22"/>
                <w:szCs w:val="22"/>
                <w:highlight w:val="none"/>
                <w:lang w:val="en-US" w:eastAsia="zh-CN"/>
              </w:rPr>
              <w:t>自筹资金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元</w:t>
            </w:r>
            <w:r>
              <w:rPr>
                <w:rFonts w:hint="eastAsia" w:ascii="宋体" w:hAnsi="宋体" w:cs="宋体"/>
                <w:color w:val="auto"/>
                <w:sz w:val="22"/>
                <w:szCs w:val="22"/>
                <w:highlight w:val="none"/>
                <w:lang w:eastAsia="zh-CN"/>
              </w:rPr>
              <w:t>）</w:t>
            </w:r>
          </w:p>
        </w:tc>
        <w:tc>
          <w:tcPr>
            <w:tcW w:w="7619" w:type="dxa"/>
            <w:vAlign w:val="center"/>
          </w:tcPr>
          <w:p w14:paraId="04BEB43C">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本项目设</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个标项</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其中</w:t>
            </w:r>
            <w:r>
              <w:rPr>
                <w:rFonts w:hint="eastAsia" w:ascii="宋体" w:hAnsi="宋体" w:eastAsia="宋体" w:cs="宋体"/>
                <w:color w:val="auto"/>
                <w:sz w:val="22"/>
                <w:szCs w:val="22"/>
                <w:highlight w:val="none"/>
                <w:lang w:val="en-US" w:eastAsia="zh-CN"/>
              </w:rPr>
              <w:t>标项</w:t>
            </w:r>
            <w:r>
              <w:rPr>
                <w:rFonts w:hint="eastAsia" w:ascii="宋体" w:hAnsi="宋体" w:cs="宋体"/>
                <w:color w:val="auto"/>
                <w:sz w:val="22"/>
                <w:szCs w:val="22"/>
                <w:highlight w:val="none"/>
                <w:lang w:val="en-US" w:eastAsia="zh-CN"/>
              </w:rPr>
              <w:t>一3000000元</w:t>
            </w:r>
            <w:r>
              <w:rPr>
                <w:rFonts w:hint="eastAsia" w:ascii="宋体" w:hAnsi="宋体" w:eastAsia="宋体" w:cs="宋体"/>
                <w:color w:val="auto"/>
                <w:sz w:val="22"/>
                <w:szCs w:val="22"/>
                <w:highlight w:val="none"/>
                <w:lang w:val="en-US" w:eastAsia="zh-CN"/>
              </w:rPr>
              <w:t>，标项</w:t>
            </w:r>
            <w:r>
              <w:rPr>
                <w:rFonts w:hint="eastAsia" w:ascii="宋体" w:hAnsi="宋体" w:cs="宋体"/>
                <w:color w:val="auto"/>
                <w:sz w:val="22"/>
                <w:szCs w:val="22"/>
                <w:highlight w:val="none"/>
                <w:lang w:val="en-US" w:eastAsia="zh-CN"/>
              </w:rPr>
              <w:t>二3900000元。</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泰顺县人民医院（泰顺县人民医院医共体）</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jc w:val="left"/>
              <w:rPr>
                <w:color w:val="auto"/>
                <w:highlight w:val="none"/>
              </w:rPr>
            </w:pPr>
            <w:r>
              <w:rPr>
                <w:rFonts w:hint="eastAsia"/>
                <w:color w:val="auto"/>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4934AF5B">
            <w:pPr>
              <w:tabs>
                <w:tab w:val="left" w:pos="1069"/>
                <w:tab w:val="left" w:pos="2352"/>
              </w:tabs>
              <w:autoSpaceDE w:val="0"/>
              <w:autoSpaceDN w:val="0"/>
              <w:adjustRightInd w:val="0"/>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u w:val="single"/>
                <w:lang w:val="zh-CN"/>
              </w:rPr>
              <w:t>《资格文件》及《商务技术文件》和《报价文件》</w:t>
            </w:r>
            <w:r>
              <w:rPr>
                <w:rFonts w:hint="eastAsia" w:ascii="宋体" w:hAnsi="宋体" w:cs="宋体"/>
                <w:color w:val="auto"/>
                <w:sz w:val="22"/>
                <w:highlight w:val="none"/>
                <w:lang w:val="zh-CN"/>
              </w:rPr>
              <w:t>。</w:t>
            </w:r>
          </w:p>
          <w:p w14:paraId="52D2B7D5">
            <w:pPr>
              <w:tabs>
                <w:tab w:val="left" w:pos="1069"/>
                <w:tab w:val="left" w:pos="2352"/>
              </w:tabs>
              <w:rPr>
                <w:rFonts w:ascii="宋体" w:hAnsi="宋体" w:cs="宋体"/>
                <w:b w:val="0"/>
                <w:bCs w:val="0"/>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投标文件编制：</w:t>
            </w:r>
            <w:r>
              <w:rPr>
                <w:rFonts w:hint="eastAsia" w:ascii="宋体" w:hAnsi="宋体" w:eastAsia="宋体" w:cs="宋体"/>
                <w:color w:val="auto"/>
                <w:sz w:val="22"/>
                <w:highlight w:val="none"/>
                <w:u w:val="single"/>
                <w:lang w:val="en-US" w:eastAsia="zh-CN"/>
              </w:rPr>
              <w:t>按</w:t>
            </w:r>
            <w:r>
              <w:rPr>
                <w:rFonts w:hint="eastAsia" w:ascii="宋体" w:hAnsi="宋体" w:cs="宋体"/>
                <w:color w:val="auto"/>
                <w:sz w:val="22"/>
                <w:highlight w:val="none"/>
                <w:u w:val="single"/>
                <w:lang w:val="en-US" w:eastAsia="zh-CN"/>
              </w:rPr>
              <w:t>招标</w:t>
            </w:r>
            <w:r>
              <w:rPr>
                <w:rFonts w:hint="eastAsia" w:ascii="宋体" w:hAnsi="宋体" w:eastAsia="宋体" w:cs="宋体"/>
                <w:color w:val="auto"/>
                <w:sz w:val="22"/>
                <w:highlight w:val="none"/>
                <w:u w:val="single"/>
                <w:lang w:val="en-US" w:eastAsia="zh-CN"/>
              </w:rPr>
              <w:t>文件要求</w:t>
            </w:r>
            <w:r>
              <w:rPr>
                <w:rFonts w:hint="eastAsia" w:ascii="宋体" w:hAnsi="宋体" w:cs="宋体"/>
                <w:b w:val="0"/>
                <w:bCs w:val="0"/>
                <w:color w:val="auto"/>
                <w:sz w:val="22"/>
                <w:highlight w:val="none"/>
              </w:rPr>
              <w:t>。</w:t>
            </w:r>
          </w:p>
          <w:p w14:paraId="6D1FFD21">
            <w:pPr>
              <w:tabs>
                <w:tab w:val="left" w:pos="1069"/>
                <w:tab w:val="left" w:pos="2352"/>
              </w:tabs>
              <w:rPr>
                <w:rFonts w:ascii="宋体" w:hAnsi="宋体" w:cs="宋体"/>
                <w:b w:val="0"/>
                <w:bCs w:val="0"/>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投标文件的签章：</w:t>
            </w:r>
            <w:r>
              <w:rPr>
                <w:rFonts w:hint="eastAsia" w:ascii="宋体" w:hAnsi="宋体" w:eastAsia="宋体" w:cs="宋体"/>
                <w:color w:val="auto"/>
                <w:sz w:val="22"/>
                <w:highlight w:val="none"/>
                <w:u w:val="single"/>
                <w:lang w:val="en-US" w:eastAsia="zh-CN"/>
              </w:rPr>
              <w:t>正式公章</w:t>
            </w:r>
            <w:r>
              <w:rPr>
                <w:rFonts w:hint="eastAsia" w:ascii="宋体" w:hAnsi="宋体" w:cs="宋体"/>
                <w:b w:val="0"/>
                <w:bCs w:val="0"/>
                <w:color w:val="auto"/>
                <w:sz w:val="22"/>
                <w:highlight w:val="none"/>
              </w:rPr>
              <w:t>。</w:t>
            </w:r>
          </w:p>
          <w:p w14:paraId="46C6498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w:t>
            </w:r>
            <w:r>
              <w:rPr>
                <w:rFonts w:hint="eastAsia" w:ascii="宋体" w:hAnsi="宋体" w:eastAsia="宋体" w:cs="宋体"/>
                <w:color w:val="auto"/>
                <w:sz w:val="22"/>
                <w:highlight w:val="none"/>
                <w:u w:val="single"/>
                <w:lang w:val="en-US" w:eastAsia="zh-CN"/>
              </w:rPr>
              <w:t>纸质</w:t>
            </w:r>
            <w:r>
              <w:rPr>
                <w:rFonts w:hint="eastAsia" w:ascii="宋体" w:hAnsi="宋体" w:eastAsia="宋体" w:cs="宋体"/>
                <w:color w:val="auto"/>
                <w:sz w:val="22"/>
                <w:highlight w:val="none"/>
                <w:u w:val="single"/>
                <w:lang w:val="zh-CN"/>
              </w:rPr>
              <w:t>投标文件</w:t>
            </w:r>
            <w:r>
              <w:rPr>
                <w:rFonts w:hint="eastAsia" w:ascii="宋体" w:hAnsi="宋体" w:cs="宋体"/>
                <w:color w:val="auto"/>
                <w:sz w:val="22"/>
                <w:highlight w:val="none"/>
              </w:rPr>
              <w:t>；</w:t>
            </w:r>
          </w:p>
          <w:p w14:paraId="0B995311">
            <w:pPr>
              <w:tabs>
                <w:tab w:val="left" w:pos="1069"/>
                <w:tab w:val="left" w:pos="2352"/>
              </w:tabs>
              <w:autoSpaceDE w:val="0"/>
              <w:autoSpaceDN w:val="0"/>
              <w:adjustRightInd w:val="0"/>
              <w:jc w:val="left"/>
              <w:rPr>
                <w:rFonts w:ascii="宋体" w:hAnsi="宋体" w:cs="宋体"/>
                <w:b w:val="0"/>
                <w:bCs w:val="0"/>
                <w:color w:val="auto"/>
                <w:sz w:val="22"/>
                <w:highlight w:val="none"/>
              </w:rPr>
            </w:pPr>
            <w:r>
              <w:rPr>
                <w:rFonts w:hint="eastAsia" w:ascii="宋体" w:hAnsi="宋体" w:cs="宋体"/>
                <w:b/>
                <w:bCs/>
                <w:color w:val="auto"/>
                <w:sz w:val="22"/>
                <w:highlight w:val="none"/>
              </w:rPr>
              <w:t>5</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投标文件份数：</w:t>
            </w:r>
            <w:r>
              <w:rPr>
                <w:rFonts w:hint="eastAsia" w:ascii="宋体" w:hAnsi="宋体" w:cs="宋体"/>
                <w:b w:val="0"/>
                <w:bCs w:val="0"/>
                <w:color w:val="auto"/>
                <w:sz w:val="22"/>
                <w:highlight w:val="none"/>
                <w:u w:val="single"/>
                <w:lang w:val="en-US" w:eastAsia="zh-CN"/>
              </w:rPr>
              <w:t>一式五份，其中正本一份，副本四份</w:t>
            </w:r>
            <w:r>
              <w:rPr>
                <w:rFonts w:hint="eastAsia" w:ascii="宋体" w:hAnsi="宋体" w:cs="宋体"/>
                <w:b w:val="0"/>
                <w:bCs w:val="0"/>
                <w:color w:val="auto"/>
                <w:sz w:val="22"/>
                <w:highlight w:val="none"/>
              </w:rPr>
              <w:t>。</w:t>
            </w:r>
          </w:p>
          <w:p w14:paraId="1476096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6</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投标文件的递交：</w:t>
            </w:r>
            <w:r>
              <w:rPr>
                <w:rFonts w:hint="eastAsia" w:ascii="宋体" w:hAnsi="宋体" w:cs="宋体"/>
                <w:b w:val="0"/>
                <w:bCs w:val="0"/>
                <w:color w:val="auto"/>
                <w:sz w:val="22"/>
                <w:highlight w:val="none"/>
                <w:u w:val="single"/>
                <w:lang w:val="en-US" w:eastAsia="zh-CN"/>
              </w:rPr>
              <w:t>线下递交</w:t>
            </w:r>
            <w:r>
              <w:rPr>
                <w:rFonts w:hint="eastAsia" w:ascii="宋体" w:hAnsi="宋体" w:cs="宋体"/>
                <w:color w:val="auto"/>
                <w:sz w:val="22"/>
                <w:highlight w:val="none"/>
              </w:rPr>
              <w:t>。</w:t>
            </w:r>
          </w:p>
          <w:p w14:paraId="6E5C10A9">
            <w:pPr>
              <w:tabs>
                <w:tab w:val="left" w:pos="1069"/>
                <w:tab w:val="left" w:pos="2352"/>
              </w:tabs>
              <w:snapToGrid w:val="0"/>
              <w:rPr>
                <w:rFonts w:ascii="宋体" w:hAnsi="宋体" w:cs="宋体"/>
                <w:color w:val="auto"/>
                <w:sz w:val="22"/>
                <w:highlight w:val="none"/>
              </w:rPr>
            </w:pPr>
            <w:r>
              <w:rPr>
                <w:rFonts w:hint="eastAsia" w:ascii="宋体" w:hAnsi="宋体" w:cs="宋体"/>
                <w:b/>
                <w:bCs/>
                <w:color w:val="auto"/>
                <w:sz w:val="22"/>
                <w:highlight w:val="none"/>
              </w:rPr>
              <w:t>7</w:t>
            </w:r>
            <w:r>
              <w:rPr>
                <w:rFonts w:hint="eastAsia" w:ascii="宋体" w:hAnsi="宋体" w:cs="宋体"/>
                <w:b/>
                <w:bCs/>
                <w:color w:val="auto"/>
                <w:sz w:val="22"/>
                <w:highlight w:val="none"/>
                <w:lang w:eastAsia="zh-CN"/>
              </w:rPr>
              <w:t>.</w:t>
            </w:r>
            <w:r>
              <w:rPr>
                <w:rFonts w:hint="eastAsia" w:ascii="宋体" w:hAnsi="宋体" w:eastAsia="宋体" w:cs="宋体"/>
                <w:color w:val="auto"/>
                <w:sz w:val="22"/>
                <w:highlight w:val="none"/>
                <w:u w:val="single"/>
                <w:lang w:val="zh-CN"/>
              </w:rPr>
              <w:t>投标截止后，在投标有效期内，供应商不能撤销投标文件</w:t>
            </w:r>
            <w:r>
              <w:rPr>
                <w:rFonts w:hint="eastAsia" w:ascii="宋体" w:hAnsi="宋体" w:cs="宋体"/>
                <w:color w:val="auto"/>
                <w:sz w:val="22"/>
                <w:highlight w:val="none"/>
              </w:rPr>
              <w:t>。</w:t>
            </w:r>
          </w:p>
          <w:p w14:paraId="3ECFF040">
            <w:pPr>
              <w:tabs>
                <w:tab w:val="left" w:pos="1069"/>
                <w:tab w:val="left" w:pos="2352"/>
              </w:tabs>
              <w:snapToGrid w:val="0"/>
              <w:rPr>
                <w:rFonts w:ascii="宋体" w:hAnsi="宋体" w:cs="宋体"/>
                <w:color w:val="auto"/>
                <w:sz w:val="22"/>
                <w:highlight w:val="none"/>
                <w:u w:val="single"/>
              </w:rPr>
            </w:pPr>
            <w:r>
              <w:rPr>
                <w:rFonts w:hint="eastAsia" w:ascii="宋体" w:hAnsi="宋体" w:cs="宋体"/>
                <w:color w:val="auto"/>
                <w:sz w:val="22"/>
                <w:highlight w:val="none"/>
                <w:lang w:val="en-US" w:eastAsia="zh-CN"/>
              </w:rPr>
              <w:t>8</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存在下列行为的，招标代理机构将其失信行为上报政府采购主管部门，由主管部门按有关规定对其违法失信行为记录进行公开：</w:t>
            </w:r>
          </w:p>
          <w:p w14:paraId="195AB7CE">
            <w:pPr>
              <w:tabs>
                <w:tab w:val="left" w:pos="1069"/>
                <w:tab w:val="left" w:pos="2352"/>
              </w:tabs>
              <w:snapToGrid w:val="0"/>
              <w:rPr>
                <w:rFonts w:ascii="宋体" w:hAnsi="宋体" w:cs="宋体"/>
                <w:color w:val="auto"/>
                <w:sz w:val="22"/>
                <w:highlight w:val="none"/>
                <w:u w:val="single"/>
              </w:rPr>
            </w:pPr>
            <w:r>
              <w:rPr>
                <w:rFonts w:hint="eastAsia" w:ascii="宋体" w:hAnsi="宋体" w:cs="宋体"/>
                <w:color w:val="auto"/>
                <w:sz w:val="22"/>
                <w:highlight w:val="none"/>
                <w:u w:val="single"/>
              </w:rPr>
              <w:t>（1）中标或者成交后，拒绝签订政府采购合同的；</w:t>
            </w:r>
          </w:p>
          <w:p w14:paraId="2D479181">
            <w:pPr>
              <w:tabs>
                <w:tab w:val="left" w:pos="1069"/>
                <w:tab w:val="left" w:pos="2352"/>
              </w:tabs>
              <w:rPr>
                <w:rFonts w:eastAsiaTheme="majorEastAsia"/>
                <w:color w:val="auto"/>
                <w:sz w:val="22"/>
                <w:szCs w:val="22"/>
                <w:highlight w:val="none"/>
              </w:rPr>
            </w:pPr>
            <w:r>
              <w:rPr>
                <w:rFonts w:hint="eastAsia" w:ascii="宋体" w:hAnsi="宋体" w:cs="宋体"/>
                <w:color w:val="auto"/>
                <w:sz w:val="22"/>
                <w:highlight w:val="none"/>
                <w:u w:val="single"/>
              </w:rPr>
              <w:t>（2）投标有效期内撤销投标文件的</w:t>
            </w:r>
            <w:r>
              <w:rPr>
                <w:rFonts w:hint="eastAsia" w:ascii="宋体" w:hAnsi="宋体" w:cs="宋体"/>
                <w:color w:val="auto"/>
                <w:sz w:val="22"/>
                <w:highlight w:val="none"/>
                <w:u w:val="single"/>
                <w:lang w:eastAsia="zh-CN"/>
              </w:rPr>
              <w:t>。</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11月28日</w:t>
            </w:r>
            <w:r>
              <w:rPr>
                <w:rFonts w:hint="eastAsia" w:ascii="宋体" w:hAnsi="宋体" w:cs="宋体"/>
                <w:color w:val="auto"/>
                <w:sz w:val="22"/>
                <w:highlight w:val="none"/>
                <w:lang w:eastAsia="zh-CN"/>
              </w:rPr>
              <w:t xml:space="preserve"> 09:00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11月28日</w:t>
            </w:r>
            <w:r>
              <w:rPr>
                <w:rFonts w:hint="eastAsia" w:ascii="宋体" w:hAnsi="宋体" w:cs="宋体"/>
                <w:color w:val="auto"/>
                <w:sz w:val="22"/>
                <w:highlight w:val="none"/>
                <w:lang w:eastAsia="zh-CN"/>
              </w:rPr>
              <w:t xml:space="preserve"> 09:00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w:t>
            </w: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7DEDA3">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9A94725">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26ACAC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74E9EEA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杭州华旗招标代理有限公司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bl>
    <w:p w14:paraId="0B3EAE3A">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2FFCAE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04398C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D6E8DCB">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DE2EE8D">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96E6E9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939513E">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4610BC90">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27F6F9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430BE8BE">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113A60E">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06FF83B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6DB8695">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F730EC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5DB6E9F">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938351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2450BE02">
      <w:pPr>
        <w:keepNext w:val="0"/>
        <w:keepLines w:val="0"/>
        <w:pageBreakBefore w:val="0"/>
        <w:widowControl/>
        <w:kinsoku/>
        <w:wordWrap/>
        <w:overflowPunct/>
        <w:topLinePunct w:val="0"/>
        <w:autoSpaceDE/>
        <w:autoSpaceDN/>
        <w:bidi w:val="0"/>
        <w:adjustRightInd/>
        <w:snapToGrid/>
        <w:spacing w:line="400" w:lineRule="exact"/>
        <w:ind w:firstLine="446" w:firstLineChars="200"/>
        <w:jc w:val="both"/>
        <w:textAlignment w:val="auto"/>
        <w:rPr>
          <w:rFonts w:hint="eastAsia" w:ascii="宋体" w:hAnsi="Times New Roman" w:eastAsia="宋体" w:cs="Times New Roman"/>
          <w:b/>
          <w:bCs/>
          <w:color w:val="auto"/>
          <w:kern w:val="2"/>
          <w:sz w:val="22"/>
          <w:szCs w:val="22"/>
          <w:highlight w:val="none"/>
        </w:rPr>
      </w:pPr>
      <w:r>
        <w:rPr>
          <w:rFonts w:hint="eastAsia" w:ascii="宋体" w:hAnsi="Times New Roman" w:eastAsia="宋体" w:cs="宋体"/>
          <w:b/>
          <w:bCs/>
          <w:color w:val="auto"/>
          <w:kern w:val="2"/>
          <w:sz w:val="22"/>
          <w:szCs w:val="22"/>
          <w:highlight w:val="none"/>
          <w:lang w:bidi="ar-SA"/>
        </w:rPr>
        <w:t>一、项目概况</w:t>
      </w:r>
    </w:p>
    <w:p w14:paraId="7FBAFB7B">
      <w:pPr>
        <w:keepNext w:val="0"/>
        <w:keepLines w:val="0"/>
        <w:pageBreakBefore w:val="0"/>
        <w:widowControl/>
        <w:kinsoku/>
        <w:wordWrap/>
        <w:overflowPunct/>
        <w:topLinePunct w:val="0"/>
        <w:autoSpaceDE/>
        <w:autoSpaceDN/>
        <w:bidi w:val="0"/>
        <w:adjustRightInd/>
        <w:snapToGrid/>
        <w:spacing w:line="400" w:lineRule="exact"/>
        <w:ind w:firstLine="446" w:firstLineChars="200"/>
        <w:jc w:val="both"/>
        <w:textAlignment w:val="auto"/>
        <w:rPr>
          <w:rFonts w:hint="eastAsia" w:ascii="宋体" w:hAnsi="Times New Roman" w:eastAsia="宋体" w:cs="Times New Roman"/>
          <w:color w:val="auto"/>
          <w:kern w:val="2"/>
          <w:sz w:val="22"/>
          <w:szCs w:val="22"/>
          <w:highlight w:val="none"/>
        </w:rPr>
      </w:pPr>
      <w:r>
        <w:rPr>
          <w:rFonts w:hint="eastAsia" w:ascii="宋体" w:hAnsi="Times New Roman" w:eastAsia="宋体" w:cs="Times New Roman"/>
          <w:color w:val="auto"/>
          <w:kern w:val="2"/>
          <w:sz w:val="22"/>
          <w:szCs w:val="22"/>
          <w:highlight w:val="none"/>
        </w:rPr>
        <w:t>本次采购内容为</w:t>
      </w:r>
      <w:r>
        <w:rPr>
          <w:rFonts w:hint="eastAsia" w:hAnsi="Times New Roman" w:eastAsia="宋体" w:cs="宋体"/>
          <w:color w:val="auto"/>
          <w:kern w:val="2"/>
          <w:sz w:val="21"/>
          <w:szCs w:val="20"/>
          <w:highlight w:val="none"/>
          <w:lang w:val="en-US" w:eastAsia="zh-CN" w:bidi="ar-SA"/>
        </w:rPr>
        <w:t>泰顺县人民医院</w:t>
      </w:r>
      <w:r>
        <w:rPr>
          <w:rFonts w:hint="eastAsia" w:ascii="宋体" w:hAnsi="Times New Roman" w:eastAsia="宋体" w:cs="宋体"/>
          <w:color w:val="auto"/>
          <w:kern w:val="2"/>
          <w:sz w:val="21"/>
          <w:szCs w:val="20"/>
          <w:highlight w:val="none"/>
          <w:lang w:bidi="ar-SA"/>
        </w:rPr>
        <w:t>检验</w:t>
      </w:r>
      <w:r>
        <w:rPr>
          <w:rFonts w:hint="eastAsia" w:ascii="宋体" w:hAnsi="Times New Roman" w:eastAsia="宋体" w:cs="宋体"/>
          <w:color w:val="auto"/>
          <w:kern w:val="2"/>
          <w:sz w:val="21"/>
          <w:szCs w:val="20"/>
          <w:highlight w:val="none"/>
          <w:lang w:eastAsia="zh-CN" w:bidi="ar-SA"/>
        </w:rPr>
        <w:t>外送</w:t>
      </w:r>
      <w:r>
        <w:rPr>
          <w:rFonts w:hint="eastAsia" w:ascii="宋体" w:hAnsi="Times New Roman" w:eastAsia="宋体" w:cs="宋体"/>
          <w:color w:val="auto"/>
          <w:kern w:val="2"/>
          <w:sz w:val="21"/>
          <w:szCs w:val="20"/>
          <w:highlight w:val="none"/>
          <w:lang w:bidi="ar-SA"/>
        </w:rPr>
        <w:t>项目</w:t>
      </w:r>
      <w:r>
        <w:rPr>
          <w:rFonts w:hint="eastAsia" w:ascii="宋体" w:hAnsi="Times New Roman" w:eastAsia="宋体" w:cs="Times New Roman"/>
          <w:color w:val="auto"/>
          <w:kern w:val="2"/>
          <w:sz w:val="22"/>
          <w:szCs w:val="22"/>
          <w:highlight w:val="none"/>
        </w:rPr>
        <w:t>，包括但不限于提供运输服务</w:t>
      </w:r>
      <w:r>
        <w:rPr>
          <w:rFonts w:hint="eastAsia" w:hAnsi="Times New Roman" w:eastAsia="宋体" w:cs="Times New Roman"/>
          <w:color w:val="auto"/>
          <w:kern w:val="2"/>
          <w:sz w:val="22"/>
          <w:szCs w:val="22"/>
          <w:highlight w:val="none"/>
          <w:lang w:eastAsia="zh-CN"/>
        </w:rPr>
        <w:t>、</w:t>
      </w:r>
      <w:r>
        <w:rPr>
          <w:rFonts w:hint="eastAsia" w:ascii="宋体" w:hAnsi="Times New Roman" w:eastAsia="宋体" w:cs="Times New Roman"/>
          <w:color w:val="auto"/>
          <w:kern w:val="2"/>
          <w:sz w:val="22"/>
          <w:szCs w:val="22"/>
          <w:highlight w:val="none"/>
        </w:rPr>
        <w:t>配套车辆设备</w:t>
      </w:r>
      <w:r>
        <w:rPr>
          <w:rFonts w:hint="eastAsia" w:hAnsi="Times New Roman" w:eastAsia="宋体" w:cs="Times New Roman"/>
          <w:color w:val="auto"/>
          <w:kern w:val="2"/>
          <w:sz w:val="22"/>
          <w:szCs w:val="22"/>
          <w:highlight w:val="none"/>
          <w:lang w:eastAsia="zh-CN"/>
        </w:rPr>
        <w:t>、</w:t>
      </w:r>
      <w:r>
        <w:rPr>
          <w:rFonts w:hint="eastAsia" w:ascii="宋体" w:hAnsi="Times New Roman" w:eastAsia="宋体" w:cs="Times New Roman"/>
          <w:color w:val="auto"/>
          <w:kern w:val="2"/>
          <w:sz w:val="22"/>
          <w:szCs w:val="22"/>
          <w:highlight w:val="none"/>
        </w:rPr>
        <w:t>配备服务人员</w:t>
      </w:r>
      <w:r>
        <w:rPr>
          <w:rFonts w:hint="eastAsia" w:hAnsi="Times New Roman" w:eastAsia="宋体" w:cs="Times New Roman"/>
          <w:color w:val="auto"/>
          <w:kern w:val="2"/>
          <w:sz w:val="22"/>
          <w:szCs w:val="22"/>
          <w:highlight w:val="none"/>
          <w:lang w:eastAsia="zh-CN"/>
        </w:rPr>
        <w:t>、</w:t>
      </w:r>
      <w:r>
        <w:rPr>
          <w:rFonts w:hint="eastAsia" w:ascii="宋体" w:hAnsi="Times New Roman" w:eastAsia="宋体" w:cs="Times New Roman"/>
          <w:color w:val="auto"/>
          <w:kern w:val="2"/>
          <w:sz w:val="22"/>
          <w:szCs w:val="22"/>
          <w:highlight w:val="none"/>
        </w:rPr>
        <w:t>外送标本检测服务等全部工作</w:t>
      </w:r>
      <w:r>
        <w:rPr>
          <w:rFonts w:hint="eastAsia" w:ascii="宋体" w:hAnsi="Times New Roman" w:eastAsia="宋体" w:cs="Times New Roman"/>
          <w:color w:val="auto"/>
          <w:kern w:val="2"/>
          <w:sz w:val="22"/>
          <w:szCs w:val="22"/>
          <w:highlight w:val="none"/>
          <w:lang w:eastAsia="zh-CN"/>
        </w:rPr>
        <w:t>，最终合同结算金额以实际数量结算</w:t>
      </w:r>
      <w:r>
        <w:rPr>
          <w:rFonts w:hint="eastAsia" w:ascii="宋体" w:hAnsi="Times New Roman" w:eastAsia="宋体" w:cs="Times New Roman"/>
          <w:color w:val="auto"/>
          <w:kern w:val="2"/>
          <w:sz w:val="22"/>
          <w:szCs w:val="22"/>
          <w:highlight w:val="none"/>
        </w:rPr>
        <w:t>。</w:t>
      </w:r>
    </w:p>
    <w:p w14:paraId="1ED95C3F">
      <w:pPr>
        <w:spacing w:line="400" w:lineRule="exact"/>
        <w:ind w:firstLine="446" w:firstLineChars="200"/>
        <w:jc w:val="left"/>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sz w:val="22"/>
          <w:szCs w:val="22"/>
          <w:highlight w:val="none"/>
        </w:rPr>
        <w:t>二、</w:t>
      </w:r>
      <w:r>
        <w:rPr>
          <w:rFonts w:hint="eastAsia" w:ascii="宋体" w:hAnsi="宋体" w:cs="宋体"/>
          <w:b/>
          <w:bCs/>
          <w:color w:val="auto"/>
          <w:sz w:val="22"/>
          <w:szCs w:val="22"/>
          <w:highlight w:val="none"/>
          <w:lang w:val="en-US" w:eastAsia="zh-CN"/>
        </w:rPr>
        <w:t>服务内容</w:t>
      </w:r>
    </w:p>
    <w:tbl>
      <w:tblPr>
        <w:tblStyle w:val="32"/>
        <w:tblW w:w="4993"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21"/>
        <w:gridCol w:w="1730"/>
        <w:gridCol w:w="2263"/>
        <w:gridCol w:w="912"/>
        <w:gridCol w:w="3789"/>
      </w:tblGrid>
      <w:tr w14:paraId="4B8EBC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79" w:type="pct"/>
            <w:noWrap w:val="0"/>
            <w:vAlign w:val="center"/>
          </w:tcPr>
          <w:p w14:paraId="1A7DA2CA">
            <w:pPr>
              <w:jc w:val="center"/>
              <w:rPr>
                <w:rFonts w:hint="eastAsia" w:ascii="宋体" w:hAnsi="宋体" w:eastAsia="宋体" w:cs="宋体"/>
                <w:b/>
                <w:bCs/>
                <w:caps/>
                <w:color w:val="auto"/>
                <w:sz w:val="22"/>
                <w:szCs w:val="22"/>
                <w:highlight w:val="none"/>
                <w:lang w:val="en-US" w:eastAsia="zh-CN"/>
              </w:rPr>
            </w:pPr>
            <w:r>
              <w:rPr>
                <w:rFonts w:hint="eastAsia" w:ascii="宋体" w:hAnsi="宋体" w:eastAsia="宋体" w:cs="宋体"/>
                <w:b/>
                <w:bCs/>
                <w:caps/>
                <w:color w:val="auto"/>
                <w:sz w:val="22"/>
                <w:szCs w:val="22"/>
                <w:highlight w:val="none"/>
                <w:lang w:val="en-US" w:eastAsia="zh-CN"/>
              </w:rPr>
              <w:t>标项</w:t>
            </w:r>
          </w:p>
        </w:tc>
        <w:tc>
          <w:tcPr>
            <w:tcW w:w="899" w:type="pct"/>
            <w:noWrap w:val="0"/>
            <w:vAlign w:val="center"/>
          </w:tcPr>
          <w:p w14:paraId="2298AA66">
            <w:pPr>
              <w:jc w:val="center"/>
              <w:rPr>
                <w:rFonts w:hint="eastAsia" w:ascii="宋体" w:hAnsi="宋体" w:eastAsia="宋体" w:cs="宋体"/>
                <w:b/>
                <w:bCs/>
                <w:caps/>
                <w:color w:val="auto"/>
                <w:sz w:val="22"/>
                <w:szCs w:val="22"/>
                <w:highlight w:val="none"/>
                <w:lang w:val="en-US" w:eastAsia="zh-CN"/>
              </w:rPr>
            </w:pPr>
            <w:r>
              <w:rPr>
                <w:rFonts w:hint="eastAsia" w:ascii="宋体" w:hAnsi="宋体" w:eastAsia="宋体" w:cs="宋体"/>
                <w:b/>
                <w:bCs/>
                <w:caps/>
                <w:color w:val="auto"/>
                <w:sz w:val="22"/>
                <w:szCs w:val="22"/>
                <w:highlight w:val="none"/>
                <w:lang w:val="en-US" w:eastAsia="zh-CN"/>
              </w:rPr>
              <w:t>标项名称</w:t>
            </w:r>
          </w:p>
        </w:tc>
        <w:tc>
          <w:tcPr>
            <w:tcW w:w="1176" w:type="pct"/>
            <w:noWrap w:val="0"/>
            <w:vAlign w:val="top"/>
          </w:tcPr>
          <w:p w14:paraId="32B56F3E">
            <w:pPr>
              <w:pStyle w:val="98"/>
              <w:spacing w:before="185" w:line="220" w:lineRule="auto"/>
              <w:jc w:val="center"/>
              <w:rPr>
                <w:rFonts w:hint="eastAsia" w:ascii="宋体" w:hAnsi="宋体" w:eastAsia="宋体" w:cs="宋体"/>
                <w:b/>
                <w:bCs/>
                <w:caps/>
                <w:color w:val="auto"/>
                <w:sz w:val="22"/>
                <w:szCs w:val="22"/>
                <w:highlight w:val="none"/>
              </w:rPr>
            </w:pPr>
            <w:r>
              <w:rPr>
                <w:b/>
                <w:bCs/>
                <w:spacing w:val="-3"/>
                <w:kern w:val="0"/>
              </w:rPr>
              <w:t>项目内容</w:t>
            </w:r>
          </w:p>
        </w:tc>
        <w:tc>
          <w:tcPr>
            <w:tcW w:w="474" w:type="pct"/>
            <w:noWrap w:val="0"/>
            <w:vAlign w:val="top"/>
          </w:tcPr>
          <w:p w14:paraId="22EA84D6">
            <w:pPr>
              <w:pStyle w:val="98"/>
              <w:spacing w:before="185" w:line="220" w:lineRule="auto"/>
              <w:jc w:val="center"/>
              <w:rPr>
                <w:rFonts w:hint="eastAsia" w:ascii="宋体" w:hAnsi="宋体" w:eastAsia="宋体" w:cs="宋体"/>
                <w:b/>
                <w:bCs/>
                <w:caps/>
                <w:color w:val="auto"/>
                <w:sz w:val="22"/>
                <w:szCs w:val="22"/>
                <w:highlight w:val="none"/>
              </w:rPr>
            </w:pPr>
            <w:r>
              <w:rPr>
                <w:b/>
                <w:bCs/>
                <w:spacing w:val="-5"/>
                <w:kern w:val="0"/>
              </w:rPr>
              <w:t>数量</w:t>
            </w:r>
          </w:p>
        </w:tc>
        <w:tc>
          <w:tcPr>
            <w:tcW w:w="1969" w:type="pct"/>
            <w:noWrap w:val="0"/>
            <w:vAlign w:val="top"/>
          </w:tcPr>
          <w:p w14:paraId="16DDF269">
            <w:pPr>
              <w:pStyle w:val="98"/>
              <w:spacing w:before="184" w:line="222" w:lineRule="auto"/>
              <w:jc w:val="center"/>
              <w:rPr>
                <w:rFonts w:hint="eastAsia" w:ascii="宋体" w:hAnsi="宋体" w:eastAsia="宋体" w:cs="宋体"/>
                <w:b/>
                <w:bCs/>
                <w:caps/>
                <w:color w:val="auto"/>
                <w:sz w:val="22"/>
                <w:szCs w:val="22"/>
                <w:highlight w:val="none"/>
                <w:lang w:val="en-US" w:eastAsia="zh-CN"/>
              </w:rPr>
            </w:pPr>
            <w:r>
              <w:rPr>
                <w:b/>
                <w:bCs/>
                <w:spacing w:val="-5"/>
                <w:kern w:val="0"/>
              </w:rPr>
              <w:t>备注</w:t>
            </w:r>
          </w:p>
        </w:tc>
      </w:tr>
      <w:tr w14:paraId="45F54C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79" w:type="pct"/>
            <w:noWrap w:val="0"/>
            <w:vAlign w:val="center"/>
          </w:tcPr>
          <w:p w14:paraId="6F8CB48C">
            <w:pPr>
              <w:jc w:val="center"/>
              <w:rPr>
                <w:rFonts w:hint="eastAsia" w:ascii="宋体" w:hAnsi="宋体" w:eastAsia="宋体" w:cs="宋体"/>
                <w:caps/>
                <w:color w:val="auto"/>
                <w:sz w:val="22"/>
                <w:szCs w:val="22"/>
                <w:highlight w:val="none"/>
                <w:lang w:val="en-US" w:eastAsia="zh-CN"/>
              </w:rPr>
            </w:pPr>
            <w:r>
              <w:rPr>
                <w:rFonts w:hint="eastAsia" w:ascii="宋体" w:hAnsi="宋体" w:cs="宋体"/>
                <w:caps/>
                <w:color w:val="auto"/>
                <w:sz w:val="22"/>
                <w:szCs w:val="22"/>
                <w:highlight w:val="none"/>
                <w:lang w:val="en-US" w:eastAsia="zh-CN"/>
              </w:rPr>
              <w:t>一</w:t>
            </w:r>
          </w:p>
        </w:tc>
        <w:tc>
          <w:tcPr>
            <w:tcW w:w="899" w:type="pct"/>
            <w:noWrap w:val="0"/>
            <w:vAlign w:val="center"/>
          </w:tcPr>
          <w:p w14:paraId="58D382D4">
            <w:pPr>
              <w:jc w:val="center"/>
              <w:rPr>
                <w:rFonts w:hint="eastAsia" w:ascii="宋体" w:hAnsi="宋体" w:eastAsia="宋体" w:cs="宋体"/>
                <w:caps/>
                <w:color w:val="auto"/>
                <w:sz w:val="22"/>
                <w:szCs w:val="22"/>
                <w:highlight w:val="none"/>
                <w:lang w:val="en-US" w:eastAsia="zh-CN"/>
              </w:rPr>
            </w:pPr>
            <w:r>
              <w:rPr>
                <w:rFonts w:hint="eastAsia" w:ascii="宋体" w:hAnsi="宋体" w:cs="宋体"/>
                <w:color w:val="auto"/>
                <w:kern w:val="0"/>
                <w:sz w:val="22"/>
                <w:szCs w:val="22"/>
                <w:highlight w:val="none"/>
                <w:lang w:val="en-US" w:eastAsia="zh-CN" w:bidi="ar-SA"/>
              </w:rPr>
              <w:t>质谱、微量元素、维生素等检测项目外送</w:t>
            </w:r>
          </w:p>
        </w:tc>
        <w:tc>
          <w:tcPr>
            <w:tcW w:w="2263" w:type="dxa"/>
            <w:shd w:val="clear" w:color="auto" w:fill="auto"/>
            <w:noWrap w:val="0"/>
            <w:vAlign w:val="center"/>
          </w:tcPr>
          <w:p w14:paraId="281EC1A1">
            <w:pPr>
              <w:jc w:val="center"/>
              <w:rPr>
                <w:rFonts w:hint="eastAsia" w:ascii="Calibri" w:hAnsi="Calibri" w:eastAsia="宋体" w:cs="黑体"/>
                <w:color w:val="auto"/>
                <w:kern w:val="2"/>
                <w:sz w:val="21"/>
                <w:szCs w:val="21"/>
                <w:highlight w:val="none"/>
                <w:lang w:val="en-US" w:eastAsia="zh-CN" w:bidi="ar-SA"/>
              </w:rPr>
            </w:pPr>
            <w:r>
              <w:rPr>
                <w:rFonts w:hint="eastAsia" w:ascii="宋体" w:hAnsi="宋体" w:cs="宋体"/>
                <w:color w:val="auto"/>
                <w:kern w:val="0"/>
                <w:sz w:val="22"/>
                <w:szCs w:val="22"/>
                <w:highlight w:val="none"/>
                <w:lang w:val="en-US" w:eastAsia="zh-CN" w:bidi="ar-SA"/>
              </w:rPr>
              <w:t>质谱、微量元素、维生素等检测项目外送</w:t>
            </w:r>
          </w:p>
        </w:tc>
        <w:tc>
          <w:tcPr>
            <w:tcW w:w="474" w:type="pct"/>
            <w:shd w:val="clear" w:color="auto" w:fill="auto"/>
            <w:noWrap w:val="0"/>
            <w:vAlign w:val="center"/>
          </w:tcPr>
          <w:p w14:paraId="2732BBA4">
            <w:pPr>
              <w:pStyle w:val="98"/>
              <w:spacing w:before="180" w:line="221" w:lineRule="auto"/>
              <w:jc w:val="center"/>
              <w:rPr>
                <w:rFonts w:hint="eastAsia" w:ascii="新宋体" w:hAnsi="新宋体" w:eastAsia="新宋体" w:cs="新宋体"/>
                <w:sz w:val="22"/>
                <w:szCs w:val="22"/>
                <w:lang w:val="en-US" w:eastAsia="zh-CN" w:bidi="ar-SA"/>
              </w:rPr>
            </w:pPr>
            <w:r>
              <w:rPr>
                <w:spacing w:val="-13"/>
              </w:rPr>
              <w:t>1</w:t>
            </w:r>
            <w:r>
              <w:rPr>
                <w:spacing w:val="-43"/>
              </w:rPr>
              <w:t xml:space="preserve"> </w:t>
            </w:r>
            <w:r>
              <w:rPr>
                <w:spacing w:val="-13"/>
              </w:rPr>
              <w:t>项</w:t>
            </w:r>
          </w:p>
        </w:tc>
        <w:tc>
          <w:tcPr>
            <w:tcW w:w="1969" w:type="pct"/>
            <w:noWrap w:val="0"/>
            <w:vAlign w:val="center"/>
          </w:tcPr>
          <w:p w14:paraId="20257C08">
            <w:pPr>
              <w:pStyle w:val="98"/>
              <w:spacing w:before="181" w:line="220" w:lineRule="auto"/>
              <w:ind w:left="116" w:leftChars="0"/>
              <w:jc w:val="left"/>
              <w:rPr>
                <w:rFonts w:hint="eastAsia" w:ascii="宋体" w:hAnsi="宋体" w:eastAsia="新宋体" w:cs="宋体"/>
                <w:caps/>
                <w:color w:val="auto"/>
                <w:sz w:val="22"/>
                <w:szCs w:val="22"/>
                <w:highlight w:val="none"/>
                <w:lang w:val="en-US" w:eastAsia="zh-CN"/>
              </w:rPr>
            </w:pPr>
            <w:r>
              <w:rPr>
                <w:spacing w:val="-9"/>
                <w:kern w:val="0"/>
              </w:rPr>
              <w:t>合作期限：3</w:t>
            </w:r>
            <w:r>
              <w:rPr>
                <w:spacing w:val="-42"/>
                <w:kern w:val="0"/>
              </w:rPr>
              <w:t xml:space="preserve"> </w:t>
            </w:r>
            <w:r>
              <w:rPr>
                <w:spacing w:val="-9"/>
                <w:kern w:val="0"/>
              </w:rPr>
              <w:t>年</w:t>
            </w:r>
            <w:r>
              <w:rPr>
                <w:rFonts w:hint="eastAsia"/>
                <w:spacing w:val="-9"/>
                <w:kern w:val="0"/>
                <w:lang w:eastAsia="zh-CN"/>
              </w:rPr>
              <w:t>，</w:t>
            </w:r>
            <w:r>
              <w:rPr>
                <w:rFonts w:hint="eastAsia"/>
                <w:color w:val="auto"/>
                <w:kern w:val="0"/>
                <w:sz w:val="22"/>
                <w:szCs w:val="22"/>
                <w:highlight w:val="none"/>
              </w:rPr>
              <w:t>一年一签。每一年合同期结束后，由采购单位进行考核，考核合格的签订下一年度合同</w:t>
            </w:r>
            <w:r>
              <w:rPr>
                <w:rFonts w:hint="eastAsia"/>
                <w:color w:val="auto"/>
                <w:kern w:val="0"/>
                <w:sz w:val="22"/>
                <w:szCs w:val="22"/>
                <w:highlight w:val="none"/>
                <w:lang w:eastAsia="zh-CN"/>
              </w:rPr>
              <w:t>。</w:t>
            </w:r>
          </w:p>
        </w:tc>
      </w:tr>
      <w:tr w14:paraId="46B1B8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9" w:hRule="atLeast"/>
          <w:jc w:val="center"/>
        </w:trPr>
        <w:tc>
          <w:tcPr>
            <w:tcW w:w="479" w:type="pct"/>
            <w:noWrap w:val="0"/>
            <w:vAlign w:val="center"/>
          </w:tcPr>
          <w:p w14:paraId="454AE45B">
            <w:pPr>
              <w:jc w:val="center"/>
              <w:rPr>
                <w:rFonts w:hint="eastAsia" w:ascii="宋体" w:hAnsi="宋体" w:eastAsia="宋体" w:cs="宋体"/>
                <w:caps/>
                <w:color w:val="auto"/>
                <w:sz w:val="22"/>
                <w:szCs w:val="22"/>
                <w:highlight w:val="none"/>
                <w:lang w:val="en-US" w:eastAsia="zh-CN"/>
              </w:rPr>
            </w:pPr>
            <w:r>
              <w:rPr>
                <w:rFonts w:hint="eastAsia" w:ascii="宋体" w:hAnsi="宋体" w:cs="宋体"/>
                <w:caps/>
                <w:color w:val="auto"/>
                <w:sz w:val="22"/>
                <w:szCs w:val="22"/>
                <w:highlight w:val="none"/>
                <w:lang w:val="en-US" w:eastAsia="zh-CN"/>
              </w:rPr>
              <w:t>二</w:t>
            </w:r>
          </w:p>
        </w:tc>
        <w:tc>
          <w:tcPr>
            <w:tcW w:w="899" w:type="pct"/>
            <w:noWrap w:val="0"/>
            <w:vAlign w:val="center"/>
          </w:tcPr>
          <w:p w14:paraId="36649EF0">
            <w:pPr>
              <w:jc w:val="center"/>
              <w:rPr>
                <w:rFonts w:hint="eastAsia" w:ascii="宋体" w:hAnsi="宋体" w:eastAsia="宋体" w:cs="宋体"/>
                <w:caps/>
                <w:color w:val="auto"/>
                <w:sz w:val="22"/>
                <w:szCs w:val="22"/>
                <w:highlight w:val="none"/>
                <w:lang w:val="en-US" w:eastAsia="zh-CN"/>
              </w:rPr>
            </w:pPr>
            <w:r>
              <w:rPr>
                <w:rFonts w:hint="eastAsia" w:ascii="宋体" w:hAnsi="宋体" w:cs="宋体"/>
                <w:color w:val="auto"/>
                <w:kern w:val="0"/>
                <w:sz w:val="22"/>
                <w:szCs w:val="22"/>
                <w:highlight w:val="none"/>
                <w:lang w:val="en-US" w:eastAsia="zh-CN" w:bidi="ar-SA"/>
              </w:rPr>
              <w:t>抗感染细胞功能检测项目等检测项目外送</w:t>
            </w:r>
          </w:p>
        </w:tc>
        <w:tc>
          <w:tcPr>
            <w:tcW w:w="2263" w:type="dxa"/>
            <w:shd w:val="clear" w:color="auto" w:fill="auto"/>
            <w:noWrap w:val="0"/>
            <w:vAlign w:val="center"/>
          </w:tcPr>
          <w:p w14:paraId="0B299FE2">
            <w:pPr>
              <w:jc w:val="center"/>
              <w:rPr>
                <w:rFonts w:hint="eastAsia" w:ascii="Calibri" w:hAnsi="Calibri" w:eastAsia="宋体" w:cs="黑体"/>
                <w:color w:val="auto"/>
                <w:kern w:val="2"/>
                <w:sz w:val="21"/>
                <w:szCs w:val="21"/>
                <w:highlight w:val="none"/>
                <w:lang w:val="en-GB" w:eastAsia="zh-CN" w:bidi="ar-SA"/>
              </w:rPr>
            </w:pPr>
            <w:r>
              <w:rPr>
                <w:rFonts w:hint="eastAsia" w:ascii="宋体" w:hAnsi="宋体" w:cs="宋体"/>
                <w:color w:val="auto"/>
                <w:kern w:val="0"/>
                <w:sz w:val="22"/>
                <w:szCs w:val="22"/>
                <w:highlight w:val="none"/>
                <w:lang w:val="en-US" w:eastAsia="zh-CN" w:bidi="ar-SA"/>
              </w:rPr>
              <w:t>抗感染细胞功能检测项目等检测项目外送</w:t>
            </w:r>
          </w:p>
        </w:tc>
        <w:tc>
          <w:tcPr>
            <w:tcW w:w="474" w:type="pct"/>
            <w:shd w:val="clear" w:color="auto" w:fill="auto"/>
            <w:noWrap w:val="0"/>
            <w:vAlign w:val="center"/>
          </w:tcPr>
          <w:p w14:paraId="471C930D">
            <w:pPr>
              <w:pStyle w:val="98"/>
              <w:spacing w:before="180" w:line="221" w:lineRule="auto"/>
              <w:jc w:val="center"/>
              <w:rPr>
                <w:rFonts w:hint="eastAsia" w:ascii="新宋体" w:hAnsi="新宋体" w:eastAsia="新宋体" w:cs="新宋体"/>
                <w:sz w:val="22"/>
                <w:szCs w:val="22"/>
                <w:lang w:val="en-US" w:eastAsia="zh-CN" w:bidi="ar-SA"/>
              </w:rPr>
            </w:pPr>
            <w:r>
              <w:rPr>
                <w:spacing w:val="-13"/>
              </w:rPr>
              <w:t>1</w:t>
            </w:r>
            <w:r>
              <w:rPr>
                <w:spacing w:val="-43"/>
              </w:rPr>
              <w:t xml:space="preserve"> </w:t>
            </w:r>
            <w:r>
              <w:rPr>
                <w:spacing w:val="-13"/>
              </w:rPr>
              <w:t>项</w:t>
            </w:r>
          </w:p>
        </w:tc>
        <w:tc>
          <w:tcPr>
            <w:tcW w:w="1969" w:type="pct"/>
            <w:shd w:val="clear" w:color="auto" w:fill="auto"/>
            <w:noWrap w:val="0"/>
            <w:vAlign w:val="top"/>
          </w:tcPr>
          <w:p w14:paraId="789DD09F">
            <w:pPr>
              <w:pStyle w:val="98"/>
              <w:spacing w:before="181" w:line="220" w:lineRule="auto"/>
              <w:ind w:left="116" w:leftChars="0"/>
              <w:rPr>
                <w:rFonts w:hint="eastAsia" w:ascii="新宋体" w:hAnsi="新宋体" w:eastAsia="新宋体" w:cs="新宋体"/>
                <w:sz w:val="22"/>
                <w:szCs w:val="22"/>
                <w:lang w:val="en-US" w:eastAsia="zh-CN" w:bidi="ar-SA"/>
              </w:rPr>
            </w:pPr>
            <w:r>
              <w:rPr>
                <w:spacing w:val="-9"/>
              </w:rPr>
              <w:t>合作期限：3</w:t>
            </w:r>
            <w:r>
              <w:rPr>
                <w:spacing w:val="-42"/>
              </w:rPr>
              <w:t xml:space="preserve"> </w:t>
            </w:r>
            <w:r>
              <w:rPr>
                <w:spacing w:val="-9"/>
              </w:rPr>
              <w:t>年</w:t>
            </w:r>
            <w:r>
              <w:rPr>
                <w:rFonts w:hint="eastAsia"/>
                <w:spacing w:val="-9"/>
                <w:lang w:eastAsia="zh-CN"/>
              </w:rPr>
              <w:t>，</w:t>
            </w:r>
            <w:r>
              <w:rPr>
                <w:rFonts w:hint="eastAsia"/>
                <w:color w:val="auto"/>
                <w:sz w:val="22"/>
                <w:szCs w:val="22"/>
                <w:highlight w:val="none"/>
              </w:rPr>
              <w:t>一年一签。每一年合同期结束后，由采购单位进行考核，考核合格的签订下一年度合同</w:t>
            </w:r>
            <w:r>
              <w:rPr>
                <w:rFonts w:hint="eastAsia"/>
                <w:color w:val="auto"/>
                <w:sz w:val="22"/>
                <w:szCs w:val="22"/>
                <w:highlight w:val="none"/>
                <w:lang w:eastAsia="zh-CN"/>
              </w:rPr>
              <w:t>。</w:t>
            </w:r>
          </w:p>
        </w:tc>
      </w:tr>
    </w:tbl>
    <w:p w14:paraId="32BE97A7">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0"/>
          <w:highlight w:val="none"/>
          <w:lang w:val="en-US" w:eastAsia="zh-CN" w:bidi="ar-SA"/>
        </w:rPr>
        <w:br w:type="textWrapping"/>
      </w:r>
      <w:r>
        <w:rPr>
          <w:rFonts w:hint="eastAsia" w:ascii="宋体" w:hAnsi="宋体" w:cs="宋体"/>
          <w:b/>
          <w:bCs/>
          <w:color w:val="auto"/>
          <w:kern w:val="2"/>
          <w:sz w:val="22"/>
          <w:szCs w:val="20"/>
          <w:highlight w:val="none"/>
          <w:lang w:val="en-US" w:eastAsia="zh-CN" w:bidi="ar-SA"/>
        </w:rPr>
        <w:t>三、</w:t>
      </w:r>
      <w:r>
        <w:rPr>
          <w:rFonts w:hint="eastAsia" w:ascii="宋体" w:hAnsi="宋体" w:cs="宋体"/>
          <w:b/>
          <w:bCs/>
          <w:color w:val="auto"/>
          <w:kern w:val="2"/>
          <w:sz w:val="22"/>
          <w:szCs w:val="22"/>
          <w:highlight w:val="none"/>
          <w:lang w:val="en-US" w:eastAsia="zh-CN" w:bidi="ar-SA"/>
        </w:rPr>
        <w:t>详细内容</w:t>
      </w:r>
      <w:r>
        <w:rPr>
          <w:rFonts w:hint="eastAsia" w:ascii="宋体" w:hAnsi="宋体" w:eastAsia="宋体" w:cs="宋体"/>
          <w:b/>
          <w:bCs/>
          <w:color w:val="auto"/>
          <w:kern w:val="2"/>
          <w:sz w:val="22"/>
          <w:szCs w:val="22"/>
          <w:highlight w:val="none"/>
          <w:lang w:val="en-US" w:eastAsia="zh-CN" w:bidi="ar-SA"/>
        </w:rPr>
        <w:br w:type="textWrapping"/>
      </w:r>
      <w:r>
        <w:rPr>
          <w:rFonts w:hint="eastAsia" w:ascii="宋体" w:hAnsi="宋体" w:eastAsia="宋体" w:cs="宋体"/>
          <w:b/>
          <w:bCs/>
          <w:color w:val="auto"/>
          <w:kern w:val="2"/>
          <w:sz w:val="22"/>
          <w:szCs w:val="22"/>
          <w:highlight w:val="none"/>
          <w:u w:val="single"/>
          <w:lang w:val="en-US" w:eastAsia="zh-CN" w:bidi="ar-SA"/>
        </w:rPr>
        <w:t>标项</w:t>
      </w:r>
      <w:r>
        <w:rPr>
          <w:rFonts w:hint="eastAsia" w:ascii="宋体" w:hAnsi="宋体" w:cs="宋体"/>
          <w:b/>
          <w:bCs/>
          <w:color w:val="auto"/>
          <w:kern w:val="2"/>
          <w:sz w:val="22"/>
          <w:szCs w:val="22"/>
          <w:highlight w:val="none"/>
          <w:u w:val="single"/>
          <w:lang w:val="en-US" w:eastAsia="zh-CN" w:bidi="ar-SA"/>
        </w:rPr>
        <w:t>一</w:t>
      </w:r>
      <w:r>
        <w:rPr>
          <w:rFonts w:hint="eastAsia" w:ascii="宋体" w:hAnsi="宋体" w:eastAsia="宋体" w:cs="宋体"/>
          <w:b/>
          <w:bCs/>
          <w:color w:val="auto"/>
          <w:kern w:val="2"/>
          <w:sz w:val="22"/>
          <w:szCs w:val="22"/>
          <w:highlight w:val="none"/>
          <w:u w:val="single"/>
          <w:lang w:val="en-US" w:eastAsia="zh-CN" w:bidi="ar-SA"/>
        </w:rPr>
        <w:t>：</w:t>
      </w:r>
      <w:r>
        <w:rPr>
          <w:rFonts w:hint="eastAsia" w:ascii="宋体" w:hAnsi="宋体" w:cs="宋体"/>
          <w:b/>
          <w:bCs/>
          <w:color w:val="auto"/>
          <w:kern w:val="2"/>
          <w:sz w:val="22"/>
          <w:szCs w:val="22"/>
          <w:highlight w:val="none"/>
          <w:u w:val="single"/>
          <w:lang w:val="en-US" w:eastAsia="zh-CN" w:bidi="ar-SA"/>
        </w:rPr>
        <w:t>质谱、微量元素、维生素等检测项目外送</w:t>
      </w:r>
      <w:r>
        <w:rPr>
          <w:rFonts w:hint="eastAsia" w:ascii="宋体" w:hAnsi="宋体" w:eastAsia="宋体" w:cs="宋体"/>
          <w:b/>
          <w:bCs/>
          <w:color w:val="auto"/>
          <w:kern w:val="2"/>
          <w:sz w:val="22"/>
          <w:szCs w:val="22"/>
          <w:highlight w:val="none"/>
          <w:u w:val="single"/>
          <w:lang w:val="en-US" w:eastAsia="zh-CN" w:bidi="ar-SA"/>
        </w:rPr>
        <w:br w:type="textWrapping"/>
      </w:r>
      <w:r>
        <w:rPr>
          <w:rFonts w:hint="eastAsia" w:ascii="宋体" w:hAnsi="宋体" w:cs="宋体"/>
          <w:b/>
          <w:bCs/>
          <w:color w:val="auto"/>
          <w:kern w:val="2"/>
          <w:sz w:val="22"/>
          <w:szCs w:val="22"/>
          <w:highlight w:val="none"/>
          <w:lang w:val="en-US" w:eastAsia="zh-CN" w:bidi="ar-SA"/>
        </w:rPr>
        <w:t>（一）项目概述</w:t>
      </w:r>
    </w:p>
    <w:tbl>
      <w:tblPr>
        <w:tblStyle w:val="53"/>
        <w:tblW w:w="5144" w:type="pct"/>
        <w:tblInd w:w="-2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56"/>
        <w:gridCol w:w="8633"/>
      </w:tblGrid>
      <w:tr w14:paraId="3DA8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5" w:type="pct"/>
            <w:noWrap w:val="0"/>
            <w:vAlign w:val="top"/>
          </w:tcPr>
          <w:p w14:paraId="1B92EEE7">
            <w:pPr>
              <w:pStyle w:val="98"/>
              <w:autoSpaceDE w:val="0"/>
              <w:autoSpaceDN w:val="0"/>
              <w:spacing w:before="184" w:line="231" w:lineRule="auto"/>
              <w:ind w:left="131"/>
              <w:jc w:val="center"/>
              <w:rPr>
                <w:kern w:val="0"/>
                <w:sz w:val="22"/>
                <w:szCs w:val="22"/>
              </w:rPr>
            </w:pPr>
            <w:r>
              <w:rPr>
                <w:spacing w:val="-8"/>
                <w:kern w:val="0"/>
                <w:sz w:val="22"/>
                <w:szCs w:val="22"/>
              </w:rPr>
              <w:t>1</w:t>
            </w:r>
          </w:p>
        </w:tc>
        <w:tc>
          <w:tcPr>
            <w:tcW w:w="4454" w:type="pct"/>
            <w:noWrap w:val="0"/>
            <w:vAlign w:val="top"/>
          </w:tcPr>
          <w:p w14:paraId="44E44130">
            <w:pPr>
              <w:pStyle w:val="98"/>
              <w:autoSpaceDE w:val="0"/>
              <w:autoSpaceDN w:val="0"/>
              <w:spacing w:before="185" w:line="219" w:lineRule="auto"/>
              <w:ind w:left="116"/>
              <w:rPr>
                <w:kern w:val="0"/>
                <w:sz w:val="22"/>
                <w:szCs w:val="22"/>
              </w:rPr>
            </w:pPr>
            <w:r>
              <w:rPr>
                <w:spacing w:val="-1"/>
                <w:kern w:val="0"/>
                <w:sz w:val="22"/>
                <w:szCs w:val="22"/>
              </w:rPr>
              <w:t>项目要求：</w:t>
            </w:r>
            <w:r>
              <w:rPr>
                <w:rFonts w:hint="eastAsia"/>
                <w:spacing w:val="-1"/>
                <w:kern w:val="0"/>
                <w:sz w:val="22"/>
                <w:szCs w:val="22"/>
              </w:rPr>
              <w:t>微量元素</w:t>
            </w:r>
            <w:r>
              <w:rPr>
                <w:rFonts w:hint="eastAsia"/>
                <w:spacing w:val="-1"/>
                <w:kern w:val="0"/>
                <w:sz w:val="22"/>
                <w:szCs w:val="22"/>
                <w:lang w:eastAsia="zh-CN"/>
              </w:rPr>
              <w:t>等质谱类</w:t>
            </w:r>
            <w:r>
              <w:rPr>
                <w:spacing w:val="-1"/>
                <w:kern w:val="0"/>
                <w:sz w:val="22"/>
                <w:szCs w:val="22"/>
              </w:rPr>
              <w:t>项目委托外送项目（项目见</w:t>
            </w:r>
            <w:r>
              <w:rPr>
                <w:rFonts w:hint="eastAsia"/>
                <w:spacing w:val="-1"/>
                <w:kern w:val="0"/>
                <w:sz w:val="22"/>
                <w:szCs w:val="22"/>
                <w:lang w:val="en-US" w:eastAsia="zh-CN"/>
              </w:rPr>
              <w:t>下表</w:t>
            </w:r>
            <w:r>
              <w:rPr>
                <w:spacing w:val="-1"/>
                <w:kern w:val="0"/>
                <w:sz w:val="22"/>
                <w:szCs w:val="22"/>
              </w:rPr>
              <w:t>）</w:t>
            </w:r>
          </w:p>
        </w:tc>
      </w:tr>
      <w:tr w14:paraId="0E9C5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5" w:type="pct"/>
            <w:noWrap w:val="0"/>
            <w:vAlign w:val="top"/>
          </w:tcPr>
          <w:p w14:paraId="31184B8E">
            <w:pPr>
              <w:pStyle w:val="98"/>
              <w:autoSpaceDE w:val="0"/>
              <w:autoSpaceDN w:val="0"/>
              <w:spacing w:before="185" w:line="219" w:lineRule="auto"/>
              <w:ind w:left="116"/>
              <w:jc w:val="center"/>
              <w:rPr>
                <w:spacing w:val="-1"/>
                <w:kern w:val="0"/>
                <w:sz w:val="22"/>
                <w:szCs w:val="22"/>
              </w:rPr>
            </w:pPr>
            <w:r>
              <w:rPr>
                <w:spacing w:val="-1"/>
                <w:kern w:val="0"/>
                <w:sz w:val="22"/>
                <w:szCs w:val="22"/>
              </w:rPr>
              <w:t>2</w:t>
            </w:r>
          </w:p>
        </w:tc>
        <w:tc>
          <w:tcPr>
            <w:tcW w:w="4454" w:type="pct"/>
            <w:noWrap w:val="0"/>
            <w:vAlign w:val="top"/>
          </w:tcPr>
          <w:p w14:paraId="158DBD77">
            <w:pPr>
              <w:pStyle w:val="98"/>
              <w:autoSpaceDE w:val="0"/>
              <w:autoSpaceDN w:val="0"/>
              <w:spacing w:before="185" w:line="219" w:lineRule="auto"/>
              <w:ind w:left="116"/>
              <w:rPr>
                <w:spacing w:val="-1"/>
                <w:kern w:val="0"/>
                <w:sz w:val="22"/>
                <w:szCs w:val="22"/>
              </w:rPr>
            </w:pPr>
            <w:r>
              <w:rPr>
                <w:spacing w:val="-1"/>
                <w:kern w:val="0"/>
                <w:sz w:val="22"/>
                <w:szCs w:val="22"/>
              </w:rPr>
              <w:t>服务：</w:t>
            </w:r>
            <w:r>
              <w:rPr>
                <w:rFonts w:hint="eastAsia"/>
                <w:spacing w:val="-1"/>
                <w:kern w:val="0"/>
                <w:sz w:val="22"/>
                <w:szCs w:val="22"/>
              </w:rPr>
              <w:t>微量元素</w:t>
            </w:r>
            <w:r>
              <w:rPr>
                <w:rFonts w:hint="eastAsia"/>
                <w:spacing w:val="-1"/>
                <w:kern w:val="0"/>
                <w:sz w:val="22"/>
                <w:szCs w:val="22"/>
                <w:lang w:eastAsia="zh-CN"/>
              </w:rPr>
              <w:t>等质谱类</w:t>
            </w:r>
            <w:r>
              <w:rPr>
                <w:spacing w:val="-1"/>
                <w:kern w:val="0"/>
                <w:sz w:val="22"/>
                <w:szCs w:val="22"/>
              </w:rPr>
              <w:t>项目检测。服务包括但不限于提供运输服务，配套车辆设备，配备服务人员，设备维护保养，外送标本检验检测和质量控制等全部工作。</w:t>
            </w:r>
          </w:p>
        </w:tc>
      </w:tr>
      <w:tr w14:paraId="55B93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5" w:type="pct"/>
            <w:noWrap w:val="0"/>
            <w:vAlign w:val="top"/>
          </w:tcPr>
          <w:p w14:paraId="6C99533B">
            <w:pPr>
              <w:pStyle w:val="98"/>
              <w:autoSpaceDE w:val="0"/>
              <w:autoSpaceDN w:val="0"/>
              <w:spacing w:before="185" w:line="219" w:lineRule="auto"/>
              <w:ind w:left="116"/>
              <w:jc w:val="center"/>
              <w:rPr>
                <w:spacing w:val="-1"/>
                <w:kern w:val="0"/>
                <w:sz w:val="22"/>
                <w:szCs w:val="22"/>
              </w:rPr>
            </w:pPr>
            <w:r>
              <w:rPr>
                <w:spacing w:val="-1"/>
                <w:kern w:val="0"/>
                <w:sz w:val="22"/>
                <w:szCs w:val="22"/>
              </w:rPr>
              <w:t>3</w:t>
            </w:r>
          </w:p>
        </w:tc>
        <w:tc>
          <w:tcPr>
            <w:tcW w:w="4454" w:type="pct"/>
            <w:noWrap w:val="0"/>
            <w:vAlign w:val="top"/>
          </w:tcPr>
          <w:p w14:paraId="6D36CE2C">
            <w:pPr>
              <w:pStyle w:val="98"/>
              <w:autoSpaceDE w:val="0"/>
              <w:autoSpaceDN w:val="0"/>
              <w:spacing w:before="185" w:line="219" w:lineRule="auto"/>
              <w:ind w:left="116"/>
              <w:rPr>
                <w:spacing w:val="-1"/>
                <w:kern w:val="0"/>
                <w:sz w:val="22"/>
                <w:szCs w:val="22"/>
              </w:rPr>
            </w:pPr>
            <w:r>
              <w:rPr>
                <w:rFonts w:hint="eastAsia"/>
                <w:spacing w:val="-1"/>
                <w:kern w:val="0"/>
                <w:sz w:val="22"/>
                <w:szCs w:val="22"/>
              </w:rPr>
              <w:t>本项目投标报价包含自投标人上门接收样本至院方收到检测报告期间所产生的费用，包括但不限于检测服务费、检测报告费和其他外送标本检验等及其涉及的运费、油费、保险费、工资、水电费、设备折旧费、税费等全部费用。</w:t>
            </w:r>
          </w:p>
        </w:tc>
      </w:tr>
      <w:tr w14:paraId="10E5F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5" w:type="pct"/>
            <w:noWrap w:val="0"/>
            <w:vAlign w:val="top"/>
          </w:tcPr>
          <w:p w14:paraId="30598464">
            <w:pPr>
              <w:pStyle w:val="98"/>
              <w:autoSpaceDE w:val="0"/>
              <w:autoSpaceDN w:val="0"/>
              <w:spacing w:before="185" w:line="219" w:lineRule="auto"/>
              <w:ind w:left="116"/>
              <w:jc w:val="center"/>
              <w:rPr>
                <w:spacing w:val="-1"/>
                <w:kern w:val="0"/>
                <w:sz w:val="22"/>
                <w:szCs w:val="22"/>
              </w:rPr>
            </w:pPr>
            <w:r>
              <w:rPr>
                <w:spacing w:val="-1"/>
                <w:kern w:val="0"/>
                <w:sz w:val="22"/>
                <w:szCs w:val="22"/>
              </w:rPr>
              <w:t>4</w:t>
            </w:r>
          </w:p>
        </w:tc>
        <w:tc>
          <w:tcPr>
            <w:tcW w:w="4454" w:type="pct"/>
            <w:noWrap w:val="0"/>
            <w:vAlign w:val="top"/>
          </w:tcPr>
          <w:p w14:paraId="79F4611A">
            <w:pPr>
              <w:pStyle w:val="98"/>
              <w:autoSpaceDE w:val="0"/>
              <w:autoSpaceDN w:val="0"/>
              <w:spacing w:before="185" w:line="219" w:lineRule="auto"/>
              <w:ind w:left="116"/>
              <w:rPr>
                <w:spacing w:val="-1"/>
                <w:kern w:val="0"/>
                <w:sz w:val="22"/>
                <w:szCs w:val="22"/>
              </w:rPr>
            </w:pPr>
            <w:r>
              <w:rPr>
                <w:spacing w:val="-1"/>
                <w:kern w:val="0"/>
                <w:sz w:val="22"/>
                <w:szCs w:val="22"/>
              </w:rPr>
              <w:t>投标人不得对医院外送检测数量提出任何要求。</w:t>
            </w:r>
          </w:p>
        </w:tc>
      </w:tr>
      <w:tr w14:paraId="23FE7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5" w:type="pct"/>
            <w:noWrap w:val="0"/>
            <w:vAlign w:val="center"/>
          </w:tcPr>
          <w:p w14:paraId="134EB1D4">
            <w:pPr>
              <w:pStyle w:val="98"/>
              <w:autoSpaceDE w:val="0"/>
              <w:autoSpaceDN w:val="0"/>
              <w:spacing w:before="185" w:line="219" w:lineRule="auto"/>
              <w:ind w:left="116"/>
              <w:jc w:val="center"/>
              <w:rPr>
                <w:spacing w:val="-1"/>
                <w:kern w:val="0"/>
                <w:sz w:val="22"/>
                <w:szCs w:val="22"/>
              </w:rPr>
            </w:pPr>
            <w:r>
              <w:rPr>
                <w:spacing w:val="-1"/>
                <w:kern w:val="0"/>
                <w:sz w:val="22"/>
                <w:szCs w:val="22"/>
              </w:rPr>
              <w:t>5</w:t>
            </w:r>
          </w:p>
        </w:tc>
        <w:tc>
          <w:tcPr>
            <w:tcW w:w="4454" w:type="pct"/>
            <w:noWrap w:val="0"/>
            <w:vAlign w:val="center"/>
          </w:tcPr>
          <w:p w14:paraId="5500F6F9">
            <w:pPr>
              <w:pStyle w:val="98"/>
              <w:autoSpaceDE w:val="0"/>
              <w:autoSpaceDN w:val="0"/>
              <w:spacing w:before="185" w:line="219" w:lineRule="auto"/>
              <w:ind w:left="116"/>
              <w:jc w:val="left"/>
              <w:rPr>
                <w:spacing w:val="-1"/>
                <w:kern w:val="0"/>
                <w:sz w:val="22"/>
                <w:szCs w:val="22"/>
              </w:rPr>
            </w:pPr>
            <w:r>
              <w:rPr>
                <w:spacing w:val="-1"/>
                <w:kern w:val="0"/>
                <w:sz w:val="22"/>
                <w:szCs w:val="22"/>
              </w:rPr>
              <w:t>投标人的投标报价附件：委托外送检验项目常用清单</w:t>
            </w:r>
            <w:r>
              <w:rPr>
                <w:rFonts w:hint="eastAsia"/>
                <w:spacing w:val="-1"/>
                <w:kern w:val="0"/>
                <w:sz w:val="22"/>
                <w:szCs w:val="22"/>
                <w:lang w:eastAsia="zh-CN"/>
              </w:rPr>
              <w:t>表中</w:t>
            </w:r>
            <w:r>
              <w:rPr>
                <w:rFonts w:hint="eastAsia"/>
                <w:spacing w:val="-1"/>
                <w:kern w:val="0"/>
                <w:sz w:val="22"/>
                <w:szCs w:val="22"/>
                <w:lang w:val="en-US" w:eastAsia="zh-CN"/>
              </w:rPr>
              <w:t>1-8项按折扣率</w:t>
            </w:r>
            <w:r>
              <w:rPr>
                <w:spacing w:val="-1"/>
                <w:kern w:val="0"/>
                <w:sz w:val="22"/>
                <w:szCs w:val="22"/>
              </w:rPr>
              <w:t>折扣率≤</w:t>
            </w:r>
            <w:r>
              <w:rPr>
                <w:rFonts w:hint="eastAsia"/>
                <w:spacing w:val="-1"/>
                <w:kern w:val="0"/>
                <w:sz w:val="22"/>
                <w:szCs w:val="22"/>
                <w:lang w:eastAsia="zh-CN"/>
              </w:rPr>
              <w:t>5</w:t>
            </w:r>
            <w:r>
              <w:rPr>
                <w:spacing w:val="-1"/>
                <w:kern w:val="0"/>
                <w:sz w:val="22"/>
                <w:szCs w:val="22"/>
              </w:rPr>
              <w:t>0%，否则按无效标处理。</w:t>
            </w:r>
          </w:p>
          <w:p w14:paraId="351227D0">
            <w:pPr>
              <w:pStyle w:val="98"/>
              <w:autoSpaceDE w:val="0"/>
              <w:autoSpaceDN w:val="0"/>
              <w:spacing w:before="185" w:line="219" w:lineRule="auto"/>
              <w:ind w:left="116"/>
              <w:jc w:val="left"/>
              <w:rPr>
                <w:spacing w:val="-1"/>
                <w:kern w:val="0"/>
                <w:sz w:val="22"/>
                <w:szCs w:val="22"/>
              </w:rPr>
            </w:pPr>
            <w:r>
              <w:rPr>
                <w:spacing w:val="-1"/>
                <w:kern w:val="0"/>
                <w:sz w:val="22"/>
                <w:szCs w:val="22"/>
              </w:rPr>
              <w:t>折扣率=投标人收取的费用/</w:t>
            </w:r>
            <w:r>
              <w:rPr>
                <w:rFonts w:hint="eastAsia"/>
                <w:spacing w:val="-1"/>
                <w:kern w:val="0"/>
                <w:sz w:val="22"/>
                <w:szCs w:val="22"/>
              </w:rPr>
              <w:t>温州市公立医院医疗服务收费价格标准</w:t>
            </w:r>
            <w:r>
              <w:rPr>
                <w:spacing w:val="-1"/>
                <w:kern w:val="0"/>
                <w:sz w:val="22"/>
                <w:szCs w:val="22"/>
              </w:rPr>
              <w:t>*100%。折扣率最多保留一位小数。</w:t>
            </w:r>
          </w:p>
          <w:p w14:paraId="06159D94">
            <w:pPr>
              <w:pStyle w:val="98"/>
              <w:autoSpaceDE w:val="0"/>
              <w:autoSpaceDN w:val="0"/>
              <w:spacing w:before="185" w:line="219" w:lineRule="auto"/>
              <w:ind w:left="116"/>
              <w:jc w:val="left"/>
              <w:rPr>
                <w:spacing w:val="-1"/>
                <w:kern w:val="0"/>
                <w:sz w:val="22"/>
                <w:szCs w:val="22"/>
              </w:rPr>
            </w:pPr>
            <w:r>
              <w:rPr>
                <w:spacing w:val="-1"/>
                <w:kern w:val="0"/>
                <w:sz w:val="22"/>
                <w:szCs w:val="22"/>
              </w:rPr>
              <w:t>投标人的投标报价附件：委托外送检验项目常用清单</w:t>
            </w:r>
            <w:r>
              <w:rPr>
                <w:rFonts w:hint="eastAsia"/>
                <w:spacing w:val="-1"/>
                <w:kern w:val="0"/>
                <w:sz w:val="22"/>
                <w:szCs w:val="22"/>
                <w:lang w:eastAsia="zh-CN"/>
              </w:rPr>
              <w:t>表中</w:t>
            </w:r>
            <w:r>
              <w:rPr>
                <w:rFonts w:hint="eastAsia"/>
                <w:spacing w:val="-1"/>
                <w:kern w:val="0"/>
                <w:sz w:val="22"/>
                <w:szCs w:val="22"/>
                <w:lang w:val="en-US" w:eastAsia="zh-CN"/>
              </w:rPr>
              <w:t>1-8项单独报价</w:t>
            </w:r>
          </w:p>
        </w:tc>
      </w:tr>
      <w:tr w14:paraId="1B23B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5" w:type="pct"/>
            <w:noWrap w:val="0"/>
            <w:vAlign w:val="top"/>
          </w:tcPr>
          <w:p w14:paraId="45617A1A">
            <w:pPr>
              <w:pStyle w:val="98"/>
              <w:autoSpaceDE w:val="0"/>
              <w:autoSpaceDN w:val="0"/>
              <w:spacing w:before="185" w:line="219" w:lineRule="auto"/>
              <w:ind w:left="116"/>
              <w:jc w:val="center"/>
              <w:rPr>
                <w:rFonts w:hint="eastAsia"/>
                <w:spacing w:val="-1"/>
                <w:kern w:val="0"/>
                <w:sz w:val="22"/>
                <w:szCs w:val="22"/>
                <w:lang w:eastAsia="zh-CN"/>
              </w:rPr>
            </w:pPr>
            <w:r>
              <w:rPr>
                <w:rFonts w:hint="eastAsia"/>
                <w:spacing w:val="-1"/>
                <w:kern w:val="0"/>
                <w:sz w:val="22"/>
                <w:szCs w:val="22"/>
                <w:lang w:val="en-US" w:eastAsia="zh-CN"/>
              </w:rPr>
              <w:t>6</w:t>
            </w:r>
          </w:p>
        </w:tc>
        <w:tc>
          <w:tcPr>
            <w:tcW w:w="4454" w:type="pct"/>
            <w:noWrap w:val="0"/>
            <w:vAlign w:val="top"/>
          </w:tcPr>
          <w:p w14:paraId="479C96A3">
            <w:pPr>
              <w:pStyle w:val="98"/>
              <w:autoSpaceDE w:val="0"/>
              <w:autoSpaceDN w:val="0"/>
              <w:spacing w:before="185" w:line="219" w:lineRule="auto"/>
              <w:ind w:left="116"/>
              <w:rPr>
                <w:spacing w:val="-1"/>
                <w:kern w:val="0"/>
                <w:sz w:val="22"/>
                <w:szCs w:val="22"/>
              </w:rPr>
            </w:pPr>
            <w:r>
              <w:rPr>
                <w:spacing w:val="-1"/>
                <w:kern w:val="0"/>
                <w:sz w:val="22"/>
                <w:szCs w:val="22"/>
              </w:rPr>
              <w:t>投标人承诺本次投标报价折扣率在合同效期内不变。如遇政策性收费标准下调，外送检验价格按下调后实际收费标准与中标报价折扣率的乘积计算。如果浙江省收费标准上调，则不上调外送服务单价（按本次中标的费率计算）。</w:t>
            </w:r>
          </w:p>
        </w:tc>
      </w:tr>
      <w:tr w14:paraId="45057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5" w:type="pct"/>
            <w:noWrap w:val="0"/>
            <w:vAlign w:val="top"/>
          </w:tcPr>
          <w:p w14:paraId="27B330F8">
            <w:pPr>
              <w:pStyle w:val="98"/>
              <w:autoSpaceDE w:val="0"/>
              <w:autoSpaceDN w:val="0"/>
              <w:spacing w:before="185" w:line="219" w:lineRule="auto"/>
              <w:ind w:left="116"/>
              <w:jc w:val="center"/>
              <w:rPr>
                <w:rFonts w:hint="eastAsia"/>
                <w:spacing w:val="-1"/>
                <w:kern w:val="0"/>
                <w:sz w:val="22"/>
                <w:szCs w:val="22"/>
                <w:lang w:eastAsia="zh-CN"/>
              </w:rPr>
            </w:pPr>
            <w:r>
              <w:rPr>
                <w:rFonts w:hint="eastAsia"/>
                <w:spacing w:val="-1"/>
                <w:kern w:val="0"/>
                <w:sz w:val="22"/>
                <w:szCs w:val="22"/>
                <w:lang w:val="en-US" w:eastAsia="zh-CN"/>
              </w:rPr>
              <w:t>7</w:t>
            </w:r>
          </w:p>
        </w:tc>
        <w:tc>
          <w:tcPr>
            <w:tcW w:w="4454" w:type="pct"/>
            <w:noWrap w:val="0"/>
            <w:vAlign w:val="top"/>
          </w:tcPr>
          <w:p w14:paraId="05A21418">
            <w:pPr>
              <w:pStyle w:val="98"/>
              <w:autoSpaceDE w:val="0"/>
              <w:autoSpaceDN w:val="0"/>
              <w:spacing w:before="185" w:line="219" w:lineRule="auto"/>
              <w:ind w:left="116"/>
              <w:rPr>
                <w:spacing w:val="-1"/>
                <w:kern w:val="0"/>
                <w:sz w:val="22"/>
                <w:szCs w:val="22"/>
              </w:rPr>
            </w:pPr>
            <w:r>
              <w:rPr>
                <w:spacing w:val="-1"/>
                <w:kern w:val="0"/>
                <w:sz w:val="22"/>
                <w:szCs w:val="22"/>
              </w:rPr>
              <w:t>投标人须承诺：除本次招标外送检测项目清单内容外，医院因业务发展需求，要求新增同类检测项目，投标人须在符合《</w:t>
            </w:r>
            <w:r>
              <w:rPr>
                <w:rFonts w:hint="eastAsia"/>
                <w:spacing w:val="-1"/>
                <w:kern w:val="0"/>
                <w:sz w:val="22"/>
                <w:szCs w:val="22"/>
              </w:rPr>
              <w:t>温州市公立医院医疗服务收费价格标准</w:t>
            </w:r>
            <w:r>
              <w:rPr>
                <w:spacing w:val="-1"/>
                <w:kern w:val="0"/>
                <w:sz w:val="22"/>
                <w:szCs w:val="22"/>
              </w:rPr>
              <w:t>》，试剂及仪器合法合规的基础上，按本合同的折扣率执行，纳入服务范围。合同年度添购资金总额不超过原合同采购金额百分之十。</w:t>
            </w:r>
          </w:p>
        </w:tc>
      </w:tr>
      <w:tr w14:paraId="752BF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5" w:type="pct"/>
            <w:noWrap w:val="0"/>
            <w:vAlign w:val="top"/>
          </w:tcPr>
          <w:p w14:paraId="3C47FB2C">
            <w:pPr>
              <w:pStyle w:val="98"/>
              <w:autoSpaceDE w:val="0"/>
              <w:autoSpaceDN w:val="0"/>
              <w:spacing w:before="185" w:line="219" w:lineRule="auto"/>
              <w:ind w:left="116"/>
              <w:jc w:val="center"/>
              <w:rPr>
                <w:rFonts w:hint="default"/>
                <w:spacing w:val="-1"/>
                <w:kern w:val="0"/>
                <w:sz w:val="22"/>
                <w:szCs w:val="22"/>
                <w:lang w:val="en-US" w:eastAsia="zh-CN"/>
              </w:rPr>
            </w:pPr>
            <w:r>
              <w:rPr>
                <w:rFonts w:hint="eastAsia"/>
                <w:spacing w:val="-1"/>
                <w:kern w:val="0"/>
                <w:sz w:val="22"/>
                <w:szCs w:val="22"/>
                <w:lang w:val="en-US" w:eastAsia="zh-CN"/>
              </w:rPr>
              <w:t>8</w:t>
            </w:r>
          </w:p>
        </w:tc>
        <w:tc>
          <w:tcPr>
            <w:tcW w:w="4454" w:type="pct"/>
            <w:noWrap w:val="0"/>
            <w:vAlign w:val="top"/>
          </w:tcPr>
          <w:p w14:paraId="3E8F0BDC">
            <w:pPr>
              <w:pStyle w:val="98"/>
              <w:autoSpaceDE w:val="0"/>
              <w:autoSpaceDN w:val="0"/>
              <w:spacing w:before="185" w:line="219" w:lineRule="auto"/>
              <w:ind w:left="116"/>
              <w:rPr>
                <w:rFonts w:hint="eastAsia"/>
                <w:spacing w:val="-1"/>
                <w:kern w:val="0"/>
                <w:sz w:val="22"/>
                <w:szCs w:val="22"/>
                <w:lang w:eastAsia="zh-CN"/>
              </w:rPr>
            </w:pPr>
            <w:r>
              <w:rPr>
                <w:rFonts w:hint="eastAsia"/>
                <w:spacing w:val="-1"/>
                <w:kern w:val="0"/>
                <w:sz w:val="22"/>
                <w:szCs w:val="22"/>
                <w:lang w:eastAsia="zh-CN"/>
              </w:rPr>
              <w:t>投标人需要对所接受的委托检测项目有质量保证方案(室内质控、室间质量评价或比对方案)并严格执行。</w:t>
            </w:r>
          </w:p>
        </w:tc>
      </w:tr>
      <w:tr w14:paraId="588C8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5" w:type="pct"/>
            <w:noWrap w:val="0"/>
            <w:vAlign w:val="top"/>
          </w:tcPr>
          <w:p w14:paraId="750B4ADC">
            <w:pPr>
              <w:pStyle w:val="98"/>
              <w:autoSpaceDE w:val="0"/>
              <w:autoSpaceDN w:val="0"/>
              <w:spacing w:before="185" w:line="219" w:lineRule="auto"/>
              <w:ind w:left="116"/>
              <w:jc w:val="center"/>
              <w:rPr>
                <w:rFonts w:hint="eastAsia"/>
                <w:spacing w:val="-1"/>
                <w:kern w:val="0"/>
                <w:sz w:val="22"/>
                <w:szCs w:val="22"/>
                <w:lang w:val="en-US" w:eastAsia="zh-CN"/>
              </w:rPr>
            </w:pPr>
            <w:r>
              <w:rPr>
                <w:rFonts w:hint="eastAsia"/>
                <w:spacing w:val="-1"/>
                <w:kern w:val="0"/>
                <w:sz w:val="22"/>
                <w:szCs w:val="22"/>
                <w:lang w:val="en-US" w:eastAsia="zh-CN"/>
              </w:rPr>
              <w:t>9</w:t>
            </w:r>
          </w:p>
        </w:tc>
        <w:tc>
          <w:tcPr>
            <w:tcW w:w="4454" w:type="pct"/>
            <w:noWrap w:val="0"/>
            <w:vAlign w:val="top"/>
          </w:tcPr>
          <w:p w14:paraId="14C119C0">
            <w:pPr>
              <w:pStyle w:val="98"/>
              <w:autoSpaceDE w:val="0"/>
              <w:autoSpaceDN w:val="0"/>
              <w:spacing w:before="185" w:line="219" w:lineRule="auto"/>
              <w:ind w:left="116"/>
              <w:rPr>
                <w:rFonts w:hint="eastAsia"/>
                <w:spacing w:val="-1"/>
                <w:kern w:val="0"/>
                <w:sz w:val="22"/>
                <w:szCs w:val="22"/>
              </w:rPr>
            </w:pPr>
            <w:r>
              <w:rPr>
                <w:rFonts w:hint="eastAsia"/>
                <w:spacing w:val="-1"/>
                <w:kern w:val="0"/>
                <w:sz w:val="22"/>
                <w:szCs w:val="22"/>
              </w:rPr>
              <w:t>投标人需接受委托招标人每年一次的实地质量考核，针对考核中的不符合项进行整改并将整改情况以图文形式反馈回委托单位。实地质量考核中出现以下情况，招标人有权终止合同：</w:t>
            </w:r>
          </w:p>
          <w:p w14:paraId="53001C82">
            <w:pPr>
              <w:pStyle w:val="98"/>
              <w:autoSpaceDE w:val="0"/>
              <w:autoSpaceDN w:val="0"/>
              <w:spacing w:before="185" w:line="219" w:lineRule="auto"/>
              <w:ind w:left="116"/>
              <w:rPr>
                <w:rFonts w:hint="eastAsia"/>
                <w:spacing w:val="-1"/>
                <w:kern w:val="0"/>
                <w:sz w:val="22"/>
                <w:szCs w:val="22"/>
              </w:rPr>
            </w:pPr>
            <w:r>
              <w:rPr>
                <w:rFonts w:hint="eastAsia"/>
                <w:spacing w:val="-1"/>
                <w:kern w:val="0"/>
                <w:sz w:val="22"/>
                <w:szCs w:val="22"/>
              </w:rPr>
              <w:t>1、检验结果数据不真实（数据与原始结果不符或无原始结果）；</w:t>
            </w:r>
          </w:p>
          <w:p w14:paraId="71E2D2B7">
            <w:pPr>
              <w:pStyle w:val="98"/>
              <w:autoSpaceDE w:val="0"/>
              <w:autoSpaceDN w:val="0"/>
              <w:spacing w:before="185" w:line="219" w:lineRule="auto"/>
              <w:ind w:left="116"/>
              <w:rPr>
                <w:rFonts w:hint="eastAsia"/>
                <w:spacing w:val="-1"/>
                <w:kern w:val="0"/>
                <w:sz w:val="22"/>
                <w:szCs w:val="22"/>
              </w:rPr>
            </w:pPr>
            <w:r>
              <w:rPr>
                <w:rFonts w:hint="eastAsia"/>
                <w:spacing w:val="-1"/>
                <w:kern w:val="0"/>
                <w:sz w:val="22"/>
                <w:szCs w:val="22"/>
              </w:rPr>
              <w:t>2、项目无质量保证方案或未按方案执行；</w:t>
            </w:r>
          </w:p>
          <w:p w14:paraId="3E6F2861">
            <w:pPr>
              <w:pStyle w:val="98"/>
              <w:autoSpaceDE w:val="0"/>
              <w:autoSpaceDN w:val="0"/>
              <w:spacing w:before="185" w:line="219" w:lineRule="auto"/>
              <w:ind w:left="116"/>
              <w:rPr>
                <w:rFonts w:hint="eastAsia"/>
                <w:spacing w:val="-1"/>
                <w:kern w:val="0"/>
                <w:sz w:val="22"/>
                <w:szCs w:val="22"/>
              </w:rPr>
            </w:pPr>
            <w:r>
              <w:rPr>
                <w:rFonts w:hint="eastAsia"/>
                <w:spacing w:val="-1"/>
                <w:kern w:val="0"/>
                <w:sz w:val="22"/>
                <w:szCs w:val="22"/>
              </w:rPr>
              <w:t>3、样本运输与中标方提供的样本运输文件不符；</w:t>
            </w:r>
          </w:p>
          <w:p w14:paraId="6E533149">
            <w:pPr>
              <w:pStyle w:val="98"/>
              <w:autoSpaceDE w:val="0"/>
              <w:autoSpaceDN w:val="0"/>
              <w:spacing w:before="185" w:line="219" w:lineRule="auto"/>
              <w:ind w:left="116"/>
              <w:rPr>
                <w:rFonts w:hint="eastAsia"/>
                <w:spacing w:val="-1"/>
                <w:kern w:val="0"/>
                <w:sz w:val="22"/>
                <w:szCs w:val="22"/>
                <w:lang w:val="en-US" w:eastAsia="en-US"/>
              </w:rPr>
            </w:pPr>
            <w:r>
              <w:rPr>
                <w:rFonts w:hint="eastAsia"/>
                <w:spacing w:val="-1"/>
                <w:kern w:val="0"/>
                <w:sz w:val="22"/>
                <w:szCs w:val="22"/>
              </w:rPr>
              <w:t>4、泄露委托方样本患者信息或隐私数据。</w:t>
            </w:r>
          </w:p>
        </w:tc>
      </w:tr>
    </w:tbl>
    <w:p w14:paraId="7D77BAF8">
      <w:pPr>
        <w:numPr>
          <w:ilvl w:val="0"/>
          <w:numId w:val="0"/>
        </w:numPr>
        <w:spacing w:before="180" w:line="220" w:lineRule="auto"/>
        <w:outlineLvl w:val="1"/>
        <w:rPr>
          <w:rFonts w:ascii="新宋体" w:hAnsi="新宋体" w:eastAsia="新宋体" w:cs="新宋体"/>
          <w:b/>
          <w:bCs/>
          <w:spacing w:val="-2"/>
          <w:kern w:val="0"/>
          <w:sz w:val="22"/>
          <w:szCs w:val="22"/>
        </w:rPr>
      </w:pPr>
      <w:r>
        <w:rPr>
          <w:rFonts w:hint="eastAsia" w:ascii="新宋体" w:hAnsi="新宋体" w:eastAsia="新宋体" w:cs="新宋体"/>
          <w:b/>
          <w:bCs/>
          <w:spacing w:val="-2"/>
          <w:kern w:val="0"/>
          <w:sz w:val="22"/>
          <w:szCs w:val="22"/>
          <w:lang w:eastAsia="zh-CN"/>
        </w:rPr>
        <w:t>（</w:t>
      </w:r>
      <w:r>
        <w:rPr>
          <w:rFonts w:hint="eastAsia" w:ascii="新宋体" w:hAnsi="新宋体" w:eastAsia="新宋体" w:cs="新宋体"/>
          <w:b/>
          <w:bCs/>
          <w:spacing w:val="-2"/>
          <w:kern w:val="0"/>
          <w:sz w:val="22"/>
          <w:szCs w:val="22"/>
          <w:lang w:val="en-US" w:eastAsia="zh-CN"/>
        </w:rPr>
        <w:t>二</w:t>
      </w:r>
      <w:r>
        <w:rPr>
          <w:rFonts w:hint="eastAsia" w:ascii="新宋体" w:hAnsi="新宋体" w:eastAsia="新宋体" w:cs="新宋体"/>
          <w:b/>
          <w:bCs/>
          <w:spacing w:val="-2"/>
          <w:kern w:val="0"/>
          <w:sz w:val="22"/>
          <w:szCs w:val="22"/>
          <w:lang w:eastAsia="zh-CN"/>
        </w:rPr>
        <w:t>）</w:t>
      </w:r>
      <w:r>
        <w:rPr>
          <w:rFonts w:ascii="新宋体" w:hAnsi="新宋体" w:eastAsia="新宋体" w:cs="新宋体"/>
          <w:b/>
          <w:bCs/>
          <w:spacing w:val="-2"/>
          <w:kern w:val="0"/>
          <w:sz w:val="22"/>
          <w:szCs w:val="22"/>
        </w:rPr>
        <w:t>服务要求</w:t>
      </w:r>
    </w:p>
    <w:tbl>
      <w:tblPr>
        <w:tblStyle w:val="32"/>
        <w:tblpPr w:leftFromText="180" w:rightFromText="180" w:vertAnchor="text" w:horzAnchor="page" w:tblpX="1006" w:tblpY="14"/>
        <w:tblOverlap w:val="never"/>
        <w:tblW w:w="514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25"/>
        <w:gridCol w:w="8678"/>
      </w:tblGrid>
      <w:tr w14:paraId="0D7AA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28" w:type="pct"/>
            <w:noWrap w:val="0"/>
            <w:vAlign w:val="center"/>
          </w:tcPr>
          <w:p w14:paraId="423FF19F">
            <w:pPr>
              <w:widowControl w:val="0"/>
              <w:autoSpaceDE w:val="0"/>
              <w:autoSpaceDN w:val="0"/>
              <w:spacing w:before="1"/>
              <w:ind w:left="219" w:right="207"/>
              <w:jc w:val="center"/>
              <w:rPr>
                <w:rFonts w:ascii="Times New Roman" w:hAnsi="Times New Roman" w:eastAsia="宋体" w:cs="Times New Roman"/>
                <w:kern w:val="0"/>
                <w:sz w:val="22"/>
                <w:szCs w:val="22"/>
                <w:lang w:val="zh-CN" w:eastAsia="zh-CN" w:bidi="zh-CN"/>
              </w:rPr>
            </w:pPr>
            <w:r>
              <w:rPr>
                <w:rFonts w:ascii="Times New Roman" w:hAnsi="Times New Roman" w:eastAsia="宋体" w:cs="Times New Roman"/>
                <w:kern w:val="0"/>
                <w:sz w:val="22"/>
                <w:szCs w:val="22"/>
                <w:lang w:val="zh-CN" w:eastAsia="zh-CN" w:bidi="zh-CN"/>
              </w:rPr>
              <w:t>1</w:t>
            </w:r>
          </w:p>
        </w:tc>
        <w:tc>
          <w:tcPr>
            <w:tcW w:w="4471" w:type="pct"/>
            <w:noWrap w:val="0"/>
            <w:vAlign w:val="center"/>
          </w:tcPr>
          <w:p w14:paraId="655CD7DC">
            <w:pPr>
              <w:widowControl w:val="0"/>
              <w:autoSpaceDE w:val="0"/>
              <w:autoSpaceDN w:val="0"/>
              <w:spacing w:before="3"/>
              <w:jc w:val="both"/>
              <w:rPr>
                <w:rFonts w:ascii="Times New Roman" w:hAnsi="Times New Roman" w:eastAsia="宋体" w:cs="Times New Roman"/>
                <w:kern w:val="0"/>
                <w:sz w:val="22"/>
                <w:szCs w:val="22"/>
                <w:lang w:val="zh-CN" w:eastAsia="zh-CN" w:bidi="zh-CN"/>
              </w:rPr>
            </w:pPr>
            <w:r>
              <w:rPr>
                <w:rFonts w:ascii="Times New Roman" w:hAnsi="宋体" w:eastAsia="宋体" w:cs="Times New Roman"/>
                <w:kern w:val="0"/>
                <w:sz w:val="22"/>
                <w:szCs w:val="22"/>
                <w:lang w:val="zh-CN" w:eastAsia="zh-CN" w:bidi="zh-CN"/>
              </w:rPr>
              <w:t>检测方法：质谱法</w:t>
            </w:r>
          </w:p>
        </w:tc>
      </w:tr>
      <w:tr w14:paraId="0D7E9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28" w:type="pct"/>
            <w:noWrap w:val="0"/>
            <w:vAlign w:val="center"/>
          </w:tcPr>
          <w:p w14:paraId="0BDB1F81">
            <w:pPr>
              <w:widowControl w:val="0"/>
              <w:autoSpaceDE w:val="0"/>
              <w:autoSpaceDN w:val="0"/>
              <w:spacing w:before="1"/>
              <w:ind w:left="219" w:right="207"/>
              <w:jc w:val="center"/>
              <w:rPr>
                <w:rFonts w:ascii="Times New Roman" w:hAnsi="Times New Roman" w:eastAsia="宋体" w:cs="Times New Roman"/>
                <w:kern w:val="0"/>
                <w:sz w:val="22"/>
                <w:szCs w:val="22"/>
                <w:lang w:val="zh-CN" w:eastAsia="zh-CN" w:bidi="zh-CN"/>
              </w:rPr>
            </w:pPr>
            <w:r>
              <w:rPr>
                <w:rFonts w:ascii="Times New Roman" w:hAnsi="Times New Roman" w:eastAsia="宋体" w:cs="Times New Roman"/>
                <w:kern w:val="0"/>
                <w:sz w:val="22"/>
                <w:szCs w:val="22"/>
                <w:lang w:val="zh-CN" w:eastAsia="zh-CN" w:bidi="zh-CN"/>
              </w:rPr>
              <w:t>2</w:t>
            </w:r>
          </w:p>
        </w:tc>
        <w:tc>
          <w:tcPr>
            <w:tcW w:w="4471" w:type="pct"/>
            <w:noWrap w:val="0"/>
            <w:vAlign w:val="center"/>
          </w:tcPr>
          <w:p w14:paraId="68C684DA">
            <w:pPr>
              <w:widowControl w:val="0"/>
              <w:autoSpaceDE w:val="0"/>
              <w:autoSpaceDN w:val="0"/>
              <w:spacing w:before="3"/>
              <w:jc w:val="both"/>
              <w:rPr>
                <w:rFonts w:ascii="Times New Roman" w:hAnsi="Times New Roman" w:eastAsia="宋体" w:cs="Times New Roman"/>
                <w:kern w:val="0"/>
                <w:sz w:val="22"/>
                <w:szCs w:val="22"/>
                <w:lang w:val="zh-CN" w:eastAsia="zh-CN" w:bidi="zh-CN"/>
              </w:rPr>
            </w:pPr>
            <w:r>
              <w:rPr>
                <w:rFonts w:hint="eastAsia" w:ascii="宋体" w:hAnsi="宋体" w:eastAsia="宋体" w:cs="宋体"/>
                <w:b/>
                <w:kern w:val="0"/>
                <w:sz w:val="22"/>
                <w:szCs w:val="22"/>
                <w:lang w:val="zh-CN" w:eastAsia="zh-CN" w:bidi="zh-CN"/>
              </w:rPr>
              <w:t>转运标本种类：</w:t>
            </w:r>
            <w:r>
              <w:rPr>
                <w:rFonts w:hint="eastAsia" w:ascii="宋体" w:hAnsi="宋体" w:eastAsia="宋体" w:cs="宋体"/>
                <w:bCs/>
                <w:kern w:val="0"/>
                <w:sz w:val="22"/>
                <w:szCs w:val="22"/>
                <w:lang w:val="zh-CN" w:eastAsia="zh-CN" w:bidi="zh-CN"/>
              </w:rPr>
              <w:t>血液、</w:t>
            </w:r>
            <w:r>
              <w:rPr>
                <w:rFonts w:hint="eastAsia" w:ascii="宋体" w:hAnsi="宋体" w:eastAsia="宋体" w:cs="宋体"/>
                <w:kern w:val="0"/>
                <w:sz w:val="22"/>
                <w:szCs w:val="22"/>
                <w:lang w:val="en-US" w:eastAsia="zh-CN" w:bidi="zh-CN"/>
              </w:rPr>
              <w:t>尿液</w:t>
            </w:r>
          </w:p>
        </w:tc>
      </w:tr>
      <w:tr w14:paraId="7EE5F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28" w:type="pct"/>
            <w:noWrap w:val="0"/>
            <w:vAlign w:val="center"/>
          </w:tcPr>
          <w:p w14:paraId="58E23CD9">
            <w:pPr>
              <w:widowControl w:val="0"/>
              <w:autoSpaceDE w:val="0"/>
              <w:autoSpaceDN w:val="0"/>
              <w:spacing w:before="1"/>
              <w:ind w:left="219" w:right="207"/>
              <w:jc w:val="center"/>
              <w:rPr>
                <w:rFonts w:ascii="Times New Roman" w:hAnsi="Times New Roman" w:eastAsia="宋体" w:cs="Times New Roman"/>
                <w:kern w:val="0"/>
                <w:sz w:val="22"/>
                <w:szCs w:val="22"/>
                <w:lang w:val="zh-CN" w:eastAsia="zh-CN" w:bidi="zh-CN"/>
              </w:rPr>
            </w:pPr>
            <w:r>
              <w:rPr>
                <w:rFonts w:ascii="Times New Roman" w:hAnsi="Times New Roman" w:eastAsia="宋体" w:cs="Times New Roman"/>
                <w:kern w:val="0"/>
                <w:sz w:val="22"/>
                <w:szCs w:val="22"/>
                <w:lang w:val="zh-CN" w:eastAsia="zh-CN" w:bidi="zh-CN"/>
              </w:rPr>
              <w:t>3</w:t>
            </w:r>
          </w:p>
        </w:tc>
        <w:tc>
          <w:tcPr>
            <w:tcW w:w="4471" w:type="pct"/>
            <w:noWrap w:val="0"/>
            <w:vAlign w:val="center"/>
          </w:tcPr>
          <w:p w14:paraId="1CE7D410">
            <w:pPr>
              <w:adjustRightInd w:val="0"/>
              <w:snapToGrid w:val="0"/>
              <w:rPr>
                <w:rFonts w:ascii="宋体" w:hAnsi="宋体" w:eastAsia="宋体" w:cs="宋体"/>
                <w:b/>
                <w:kern w:val="0"/>
                <w:sz w:val="22"/>
                <w:szCs w:val="22"/>
              </w:rPr>
            </w:pPr>
            <w:r>
              <w:rPr>
                <w:rFonts w:hint="eastAsia" w:ascii="宋体" w:hAnsi="宋体" w:eastAsia="宋体" w:cs="宋体"/>
                <w:b/>
                <w:kern w:val="0"/>
                <w:sz w:val="22"/>
                <w:szCs w:val="22"/>
              </w:rPr>
              <w:t>标本收取及报告：</w:t>
            </w:r>
          </w:p>
          <w:p w14:paraId="54FB2469">
            <w:pPr>
              <w:adjustRightInd w:val="0"/>
              <w:snapToGrid w:val="0"/>
              <w:ind w:firstLine="446" w:firstLineChars="200"/>
              <w:rPr>
                <w:rFonts w:ascii="宋体" w:hAnsi="宋体" w:eastAsia="宋体" w:cs="宋体"/>
                <w:kern w:val="0"/>
                <w:sz w:val="22"/>
                <w:szCs w:val="22"/>
              </w:rPr>
            </w:pPr>
            <w:r>
              <w:rPr>
                <w:rFonts w:hint="eastAsia" w:ascii="宋体" w:hAnsi="宋体" w:eastAsia="宋体" w:cs="宋体"/>
                <w:kern w:val="0"/>
                <w:sz w:val="22"/>
                <w:szCs w:val="22"/>
              </w:rPr>
              <w:t>标本需</w:t>
            </w:r>
            <w:r>
              <w:rPr>
                <w:rFonts w:hint="eastAsia" w:ascii="宋体" w:hAnsi="宋体" w:eastAsia="宋体" w:cs="宋体"/>
                <w:kern w:val="0"/>
                <w:sz w:val="22"/>
                <w:szCs w:val="22"/>
                <w:u w:val="single"/>
              </w:rPr>
              <w:t>每日</w:t>
            </w:r>
            <w:r>
              <w:rPr>
                <w:rFonts w:hint="eastAsia" w:ascii="宋体" w:hAnsi="宋体" w:eastAsia="宋体" w:cs="宋体"/>
                <w:kern w:val="0"/>
                <w:sz w:val="22"/>
                <w:szCs w:val="22"/>
              </w:rPr>
              <w:t>上门收取，收取人员必须当场确认采集量和标本类型是否符合要求，如不符及时和检验中心人员联系。</w:t>
            </w:r>
          </w:p>
          <w:p w14:paraId="24EF05F4">
            <w:pPr>
              <w:adjustRightInd w:val="0"/>
              <w:snapToGrid w:val="0"/>
              <w:ind w:firstLine="446" w:firstLineChars="200"/>
              <w:rPr>
                <w:rFonts w:ascii="Times New Roman" w:hAnsi="Times New Roman" w:eastAsia="宋体" w:cs="Times New Roman"/>
                <w:kern w:val="0"/>
                <w:sz w:val="22"/>
                <w:szCs w:val="22"/>
              </w:rPr>
            </w:pPr>
            <w:r>
              <w:rPr>
                <w:rFonts w:hint="eastAsia" w:ascii="宋体" w:hAnsi="宋体" w:eastAsia="宋体" w:cs="宋体"/>
                <w:kern w:val="0"/>
                <w:sz w:val="22"/>
                <w:szCs w:val="22"/>
              </w:rPr>
              <w:t>收样后三个自然日内出具报告，所有报告单可在网上查询，并与医院</w:t>
            </w:r>
            <w:r>
              <w:rPr>
                <w:rFonts w:hint="eastAsia" w:ascii="宋体" w:hAnsi="宋体" w:eastAsia="宋体" w:cs="宋体"/>
                <w:kern w:val="0"/>
                <w:sz w:val="22"/>
                <w:szCs w:val="22"/>
                <w:u w:val="single"/>
              </w:rPr>
              <w:t>LIS</w:t>
            </w:r>
            <w:r>
              <w:rPr>
                <w:rFonts w:hint="eastAsia" w:ascii="宋体" w:hAnsi="宋体" w:eastAsia="宋体" w:cs="宋体"/>
                <w:kern w:val="0"/>
                <w:sz w:val="22"/>
                <w:szCs w:val="22"/>
              </w:rPr>
              <w:t>系统相连接。</w:t>
            </w:r>
          </w:p>
        </w:tc>
      </w:tr>
      <w:tr w14:paraId="5DD4A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28" w:type="pct"/>
            <w:noWrap w:val="0"/>
            <w:vAlign w:val="center"/>
          </w:tcPr>
          <w:p w14:paraId="4B230F31">
            <w:pPr>
              <w:widowControl w:val="0"/>
              <w:autoSpaceDE w:val="0"/>
              <w:autoSpaceDN w:val="0"/>
              <w:spacing w:before="1"/>
              <w:ind w:left="219" w:right="207"/>
              <w:jc w:val="center"/>
              <w:rPr>
                <w:rFonts w:ascii="Times New Roman" w:hAnsi="Times New Roman" w:eastAsia="宋体" w:cs="Times New Roman"/>
                <w:kern w:val="0"/>
                <w:sz w:val="22"/>
                <w:szCs w:val="22"/>
                <w:lang w:val="zh-CN" w:eastAsia="zh-CN" w:bidi="zh-CN"/>
              </w:rPr>
            </w:pPr>
            <w:r>
              <w:rPr>
                <w:rFonts w:ascii="Times New Roman" w:hAnsi="Times New Roman" w:eastAsia="宋体" w:cs="Times New Roman"/>
                <w:kern w:val="0"/>
                <w:sz w:val="22"/>
                <w:szCs w:val="22"/>
                <w:lang w:val="zh-CN" w:eastAsia="zh-CN" w:bidi="zh-CN"/>
              </w:rPr>
              <w:t>4</w:t>
            </w:r>
          </w:p>
        </w:tc>
        <w:tc>
          <w:tcPr>
            <w:tcW w:w="4471" w:type="pct"/>
            <w:noWrap w:val="0"/>
            <w:vAlign w:val="center"/>
          </w:tcPr>
          <w:p w14:paraId="60FDF6E5">
            <w:pPr>
              <w:adjustRightInd w:val="0"/>
              <w:snapToGrid w:val="0"/>
              <w:rPr>
                <w:rFonts w:ascii="宋体" w:hAnsi="宋体" w:eastAsia="宋体" w:cs="宋体"/>
                <w:b/>
                <w:kern w:val="0"/>
                <w:sz w:val="22"/>
                <w:szCs w:val="22"/>
              </w:rPr>
            </w:pPr>
            <w:r>
              <w:rPr>
                <w:rFonts w:hint="eastAsia" w:ascii="宋体" w:hAnsi="宋体" w:eastAsia="宋体" w:cs="宋体"/>
                <w:b/>
                <w:kern w:val="0"/>
                <w:sz w:val="22"/>
                <w:szCs w:val="22"/>
              </w:rPr>
              <w:t>标本安全管理：</w:t>
            </w:r>
          </w:p>
          <w:p w14:paraId="118625D3">
            <w:pPr>
              <w:adjustRightInd w:val="0"/>
              <w:snapToGrid w:val="0"/>
              <w:ind w:firstLine="446" w:firstLineChars="200"/>
              <w:rPr>
                <w:rFonts w:ascii="宋体" w:hAnsi="宋体" w:eastAsia="宋体" w:cs="宋体"/>
                <w:kern w:val="0"/>
                <w:sz w:val="22"/>
                <w:szCs w:val="22"/>
              </w:rPr>
            </w:pPr>
            <w:r>
              <w:rPr>
                <w:rFonts w:hint="eastAsia" w:ascii="宋体" w:hAnsi="宋体" w:eastAsia="宋体" w:cs="宋体"/>
                <w:kern w:val="0"/>
                <w:sz w:val="22"/>
                <w:szCs w:val="22"/>
              </w:rPr>
              <w:t>样本交接及运送过程必须符合样本的安全管理要求，符合《病原微生物实验室生物安全管理条例》、《可感染人类的高致病性病原微生物菌（毒）种或样本运输管理规定》、《浙江省病原微生物实验室生物安全管理办法（试行）》等相关法律法规规章涉及的生物安全规定。</w:t>
            </w:r>
          </w:p>
          <w:p w14:paraId="71D187B8">
            <w:pPr>
              <w:adjustRightInd w:val="0"/>
              <w:snapToGrid w:val="0"/>
              <w:ind w:firstLine="446" w:firstLineChars="200"/>
              <w:rPr>
                <w:rFonts w:ascii="Times New Roman" w:hAnsi="Times New Roman" w:eastAsia="宋体" w:cs="Times New Roman"/>
                <w:kern w:val="0"/>
                <w:sz w:val="22"/>
                <w:szCs w:val="22"/>
              </w:rPr>
            </w:pPr>
            <w:r>
              <w:rPr>
                <w:rFonts w:hint="eastAsia" w:ascii="宋体" w:hAnsi="宋体" w:eastAsia="宋体" w:cs="宋体"/>
                <w:kern w:val="0"/>
                <w:sz w:val="22"/>
                <w:szCs w:val="22"/>
              </w:rPr>
              <w:t>投标人需要按照国家相关规定要求，对检测的标本进行妥善保管。</w:t>
            </w:r>
          </w:p>
        </w:tc>
      </w:tr>
      <w:tr w14:paraId="48A21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28" w:type="pct"/>
            <w:noWrap w:val="0"/>
            <w:vAlign w:val="center"/>
          </w:tcPr>
          <w:p w14:paraId="5BDA7774">
            <w:pPr>
              <w:widowControl w:val="0"/>
              <w:autoSpaceDE w:val="0"/>
              <w:autoSpaceDN w:val="0"/>
              <w:spacing w:before="9"/>
              <w:jc w:val="center"/>
              <w:rPr>
                <w:rFonts w:ascii="Times New Roman" w:hAnsi="Times New Roman" w:eastAsia="宋体" w:cs="Times New Roman"/>
                <w:kern w:val="0"/>
                <w:sz w:val="22"/>
                <w:szCs w:val="22"/>
                <w:lang w:val="zh-CN" w:eastAsia="zh-CN" w:bidi="zh-CN"/>
              </w:rPr>
            </w:pPr>
            <w:r>
              <w:rPr>
                <w:rFonts w:hint="eastAsia" w:ascii="Times New Roman" w:hAnsi="Times New Roman" w:eastAsia="宋体" w:cs="Times New Roman"/>
                <w:kern w:val="0"/>
                <w:sz w:val="22"/>
                <w:szCs w:val="22"/>
                <w:lang w:val="en-US" w:eastAsia="zh-CN" w:bidi="zh-CN"/>
              </w:rPr>
              <w:t>5</w:t>
            </w:r>
          </w:p>
        </w:tc>
        <w:tc>
          <w:tcPr>
            <w:tcW w:w="4471" w:type="pct"/>
            <w:noWrap w:val="0"/>
            <w:vAlign w:val="center"/>
          </w:tcPr>
          <w:p w14:paraId="074C702C">
            <w:pPr>
              <w:adjustRightInd w:val="0"/>
              <w:snapToGrid w:val="0"/>
              <w:rPr>
                <w:rFonts w:ascii="宋体" w:hAnsi="宋体" w:eastAsia="宋体" w:cs="宋体"/>
                <w:b/>
                <w:kern w:val="0"/>
                <w:sz w:val="22"/>
                <w:szCs w:val="22"/>
              </w:rPr>
            </w:pPr>
            <w:r>
              <w:rPr>
                <w:rFonts w:hint="eastAsia" w:ascii="宋体" w:hAnsi="宋体" w:eastAsia="宋体" w:cs="宋体"/>
                <w:b/>
                <w:kern w:val="0"/>
                <w:sz w:val="22"/>
                <w:szCs w:val="22"/>
              </w:rPr>
              <w:t>运输冷链系统要求</w:t>
            </w:r>
          </w:p>
          <w:p w14:paraId="3F548AD7">
            <w:pPr>
              <w:adjustRightInd w:val="0"/>
              <w:snapToGrid w:val="0"/>
              <w:ind w:firstLine="446" w:firstLineChars="200"/>
              <w:rPr>
                <w:rFonts w:ascii="宋体" w:hAnsi="宋体" w:eastAsia="宋体" w:cs="宋体"/>
                <w:kern w:val="0"/>
                <w:sz w:val="22"/>
                <w:szCs w:val="22"/>
              </w:rPr>
            </w:pPr>
            <w:r>
              <w:rPr>
                <w:rFonts w:hint="eastAsia" w:ascii="宋体" w:hAnsi="宋体" w:eastAsia="宋体" w:cs="宋体"/>
                <w:kern w:val="0"/>
                <w:sz w:val="22"/>
                <w:szCs w:val="22"/>
              </w:rPr>
              <w:t>所有样本的运送必须符合样本运输管理要求，并严格按照样本保存要求的温度进行转运。</w:t>
            </w:r>
          </w:p>
        </w:tc>
      </w:tr>
      <w:tr w14:paraId="64992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528" w:type="pct"/>
            <w:noWrap w:val="0"/>
            <w:vAlign w:val="center"/>
          </w:tcPr>
          <w:p w14:paraId="6FC9BB48">
            <w:pPr>
              <w:widowControl w:val="0"/>
              <w:autoSpaceDE w:val="0"/>
              <w:autoSpaceDN w:val="0"/>
              <w:spacing w:before="9"/>
              <w:jc w:val="center"/>
              <w:rPr>
                <w:rFonts w:hint="eastAsia" w:ascii="Times New Roman" w:hAnsi="Times New Roman" w:eastAsia="宋体" w:cs="Times New Roman"/>
                <w:kern w:val="0"/>
                <w:sz w:val="22"/>
                <w:szCs w:val="22"/>
                <w:lang w:val="zh-CN" w:eastAsia="zh-CN" w:bidi="zh-CN"/>
              </w:rPr>
            </w:pPr>
            <w:r>
              <w:rPr>
                <w:rFonts w:hint="eastAsia" w:ascii="Times New Roman" w:hAnsi="宋体" w:eastAsia="宋体" w:cs="Times New Roman"/>
                <w:kern w:val="0"/>
                <w:sz w:val="22"/>
                <w:szCs w:val="22"/>
                <w:lang w:val="en-US" w:eastAsia="zh-CN" w:bidi="zh-CN"/>
              </w:rPr>
              <w:t>△</w:t>
            </w:r>
            <w:r>
              <w:rPr>
                <w:rFonts w:hint="eastAsia" w:ascii="Times New Roman" w:hAnsi="Times New Roman" w:eastAsia="宋体" w:cs="Times New Roman"/>
                <w:kern w:val="0"/>
                <w:sz w:val="22"/>
                <w:szCs w:val="22"/>
                <w:lang w:val="en-US" w:eastAsia="zh-CN" w:bidi="zh-CN"/>
              </w:rPr>
              <w:t>6</w:t>
            </w:r>
          </w:p>
        </w:tc>
        <w:tc>
          <w:tcPr>
            <w:tcW w:w="4471" w:type="pct"/>
            <w:noWrap w:val="0"/>
            <w:vAlign w:val="center"/>
          </w:tcPr>
          <w:p w14:paraId="690B99BB">
            <w:pPr>
              <w:adjustRightInd w:val="0"/>
              <w:snapToGrid w:val="0"/>
              <w:rPr>
                <w:rFonts w:ascii="宋体" w:hAnsi="宋体" w:eastAsia="宋体" w:cs="宋体"/>
                <w:b/>
                <w:kern w:val="0"/>
                <w:sz w:val="22"/>
                <w:szCs w:val="22"/>
              </w:rPr>
            </w:pPr>
            <w:r>
              <w:rPr>
                <w:rFonts w:hint="eastAsia" w:ascii="宋体" w:hAnsi="宋体" w:eastAsia="宋体" w:cs="宋体"/>
                <w:b/>
                <w:kern w:val="0"/>
                <w:sz w:val="22"/>
                <w:szCs w:val="22"/>
              </w:rPr>
              <w:t>质量要求：</w:t>
            </w:r>
          </w:p>
          <w:p w14:paraId="405639EA">
            <w:pPr>
              <w:adjustRightInd w:val="0"/>
              <w:snapToGrid w:val="0"/>
              <w:ind w:firstLine="446" w:firstLineChars="200"/>
              <w:rPr>
                <w:rFonts w:ascii="宋体" w:hAnsi="宋体" w:eastAsia="宋体" w:cs="宋体"/>
                <w:kern w:val="0"/>
                <w:sz w:val="22"/>
                <w:szCs w:val="22"/>
              </w:rPr>
            </w:pPr>
            <w:r>
              <w:rPr>
                <w:rFonts w:hint="eastAsia" w:ascii="宋体" w:hAnsi="宋体" w:eastAsia="宋体" w:cs="宋体"/>
                <w:kern w:val="0"/>
                <w:sz w:val="22"/>
                <w:szCs w:val="22"/>
              </w:rPr>
              <w:t>投标人需按照采购人的要求定期维护提交质量控制数据记录。</w:t>
            </w:r>
          </w:p>
          <w:p w14:paraId="5B6CBE93">
            <w:pPr>
              <w:adjustRightInd w:val="0"/>
              <w:snapToGrid w:val="0"/>
              <w:ind w:firstLine="446" w:firstLineChars="200"/>
              <w:rPr>
                <w:rFonts w:ascii="宋体" w:hAnsi="宋体" w:eastAsia="宋体" w:cs="宋体"/>
                <w:kern w:val="0"/>
                <w:sz w:val="22"/>
                <w:szCs w:val="22"/>
              </w:rPr>
            </w:pPr>
            <w:r>
              <w:rPr>
                <w:rFonts w:hint="eastAsia" w:ascii="宋体" w:hAnsi="宋体" w:eastAsia="宋体" w:cs="宋体"/>
                <w:kern w:val="0"/>
                <w:sz w:val="22"/>
                <w:szCs w:val="22"/>
              </w:rPr>
              <w:t>优先选择使用二类体外诊断试剂进行样本检测的投标人。</w:t>
            </w:r>
          </w:p>
          <w:p w14:paraId="0171E3B0">
            <w:pPr>
              <w:adjustRightInd w:val="0"/>
              <w:snapToGrid w:val="0"/>
              <w:ind w:firstLine="446" w:firstLineChars="200"/>
              <w:rPr>
                <w:rFonts w:ascii="宋体" w:hAnsi="宋体" w:eastAsia="宋体" w:cs="宋体"/>
                <w:kern w:val="0"/>
                <w:sz w:val="22"/>
                <w:szCs w:val="22"/>
              </w:rPr>
            </w:pPr>
            <w:r>
              <w:rPr>
                <w:rFonts w:hint="eastAsia" w:ascii="宋体" w:hAnsi="宋体" w:eastAsia="宋体" w:cs="宋体"/>
                <w:kern w:val="0"/>
                <w:sz w:val="22"/>
                <w:szCs w:val="22"/>
              </w:rPr>
              <w:t>投标人对所出的检测报告负责，建立全面的质量管理体系，落实全面质量管理与改进制度，严格按照SOP文件执行，开展室内质控，并参加国家临检中心室间质评，确保检验结果准确可靠。</w:t>
            </w:r>
          </w:p>
        </w:tc>
      </w:tr>
      <w:tr w14:paraId="55FFE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28" w:type="pct"/>
            <w:noWrap w:val="0"/>
            <w:vAlign w:val="center"/>
          </w:tcPr>
          <w:p w14:paraId="2A391EF1">
            <w:pPr>
              <w:adjustRightInd w:val="0"/>
              <w:snapToGrid w:val="0"/>
              <w:jc w:val="center"/>
              <w:rPr>
                <w:rFonts w:ascii="宋体" w:hAnsi="宋体" w:eastAsia="宋体" w:cs="宋体"/>
                <w:kern w:val="0"/>
                <w:sz w:val="22"/>
                <w:szCs w:val="22"/>
              </w:rPr>
            </w:pPr>
            <w:r>
              <w:rPr>
                <w:rFonts w:hint="eastAsia" w:ascii="宋体" w:hAnsi="宋体" w:eastAsia="宋体" w:cs="宋体"/>
                <w:kern w:val="0"/>
                <w:sz w:val="22"/>
                <w:szCs w:val="22"/>
              </w:rPr>
              <w:t>7</w:t>
            </w:r>
          </w:p>
        </w:tc>
        <w:tc>
          <w:tcPr>
            <w:tcW w:w="4471" w:type="pct"/>
            <w:noWrap w:val="0"/>
            <w:vAlign w:val="center"/>
          </w:tcPr>
          <w:p w14:paraId="373358EC">
            <w:pPr>
              <w:adjustRightInd w:val="0"/>
              <w:snapToGrid w:val="0"/>
              <w:ind w:firstLine="446" w:firstLineChars="200"/>
              <w:rPr>
                <w:rFonts w:ascii="宋体" w:hAnsi="宋体" w:eastAsia="宋体" w:cs="宋体"/>
                <w:kern w:val="0"/>
                <w:sz w:val="22"/>
                <w:szCs w:val="22"/>
              </w:rPr>
            </w:pPr>
            <w:r>
              <w:rPr>
                <w:rFonts w:hint="eastAsia" w:ascii="宋体" w:hAnsi="宋体" w:eastAsia="宋体" w:cs="宋体"/>
                <w:kern w:val="0"/>
                <w:sz w:val="22"/>
                <w:szCs w:val="22"/>
              </w:rPr>
              <w:t>投标人具有完善的质控系统按照检验质控要求，定期提供所有外送项目的室内质控、室间质控报告。</w:t>
            </w:r>
          </w:p>
        </w:tc>
      </w:tr>
      <w:tr w14:paraId="4FA66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28" w:type="pct"/>
            <w:noWrap w:val="0"/>
            <w:vAlign w:val="center"/>
          </w:tcPr>
          <w:p w14:paraId="4ABC82E6">
            <w:pPr>
              <w:widowControl w:val="0"/>
              <w:autoSpaceDE w:val="0"/>
              <w:autoSpaceDN w:val="0"/>
              <w:spacing w:before="1"/>
              <w:ind w:firstLine="446" w:firstLineChars="200"/>
              <w:jc w:val="left"/>
              <w:rPr>
                <w:rFonts w:ascii="Times New Roman" w:hAnsi="Times New Roman" w:eastAsia="宋体" w:cs="Times New Roman"/>
                <w:kern w:val="0"/>
                <w:sz w:val="22"/>
                <w:szCs w:val="22"/>
                <w:lang w:val="zh-CN" w:eastAsia="zh-CN" w:bidi="zh-CN"/>
              </w:rPr>
            </w:pPr>
            <w:r>
              <w:rPr>
                <w:rFonts w:hint="eastAsia" w:ascii="Times New Roman" w:hAnsi="Times New Roman" w:eastAsia="宋体" w:cs="Times New Roman"/>
                <w:kern w:val="0"/>
                <w:sz w:val="22"/>
                <w:szCs w:val="22"/>
                <w:lang w:val="en-US" w:eastAsia="zh-CN" w:bidi="zh-CN"/>
              </w:rPr>
              <w:t>8</w:t>
            </w:r>
          </w:p>
        </w:tc>
        <w:tc>
          <w:tcPr>
            <w:tcW w:w="4471" w:type="pct"/>
            <w:noWrap w:val="0"/>
            <w:vAlign w:val="center"/>
          </w:tcPr>
          <w:p w14:paraId="0E2EBEF2">
            <w:pPr>
              <w:widowControl w:val="0"/>
              <w:autoSpaceDE w:val="0"/>
              <w:autoSpaceDN w:val="0"/>
              <w:spacing w:before="3"/>
              <w:ind w:left="107"/>
              <w:jc w:val="both"/>
              <w:rPr>
                <w:rFonts w:ascii="Times New Roman" w:hAnsi="Times New Roman" w:eastAsia="宋体" w:cs="Times New Roman"/>
                <w:kern w:val="0"/>
                <w:sz w:val="22"/>
                <w:szCs w:val="22"/>
                <w:lang w:val="zh-CN" w:eastAsia="zh-CN" w:bidi="zh-CN"/>
              </w:rPr>
            </w:pPr>
            <w:r>
              <w:rPr>
                <w:rFonts w:ascii="Times New Roman" w:hAnsi="宋体" w:eastAsia="宋体" w:cs="Times New Roman"/>
                <w:b/>
                <w:bCs/>
                <w:kern w:val="0"/>
                <w:sz w:val="22"/>
                <w:szCs w:val="22"/>
                <w:lang w:val="zh-CN" w:eastAsia="zh-CN" w:bidi="zh-CN"/>
              </w:rPr>
              <w:t>结果的准确性：</w:t>
            </w:r>
            <w:r>
              <w:rPr>
                <w:rFonts w:hint="eastAsia" w:ascii="宋体" w:hAnsi="宋体" w:eastAsia="宋体" w:cs="宋体"/>
                <w:kern w:val="2"/>
                <w:sz w:val="22"/>
                <w:szCs w:val="22"/>
                <w:lang w:val="en-US" w:eastAsia="zh-CN" w:bidi="ar-SA"/>
              </w:rPr>
              <w:t>中标方对检验结果负责，因检验结果问题引起的医疗纠纷，所有费用完全由中标方赔偿。对结果明显有差异的，要求复查或再委托第三方检验。这种情况下所发生的费用，由责任方承担。</w:t>
            </w:r>
          </w:p>
        </w:tc>
      </w:tr>
      <w:tr w14:paraId="00660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28" w:type="pct"/>
            <w:noWrap w:val="0"/>
            <w:vAlign w:val="center"/>
          </w:tcPr>
          <w:p w14:paraId="10A7C02F">
            <w:pPr>
              <w:widowControl w:val="0"/>
              <w:autoSpaceDE w:val="0"/>
              <w:autoSpaceDN w:val="0"/>
              <w:spacing w:before="1"/>
              <w:ind w:left="12"/>
              <w:jc w:val="center"/>
              <w:rPr>
                <w:rFonts w:ascii="Times New Roman" w:hAnsi="Times New Roman" w:eastAsia="宋体" w:cs="Times New Roman"/>
                <w:kern w:val="0"/>
                <w:sz w:val="22"/>
                <w:szCs w:val="22"/>
                <w:lang w:val="zh-CN" w:eastAsia="zh-CN" w:bidi="zh-CN"/>
              </w:rPr>
            </w:pPr>
            <w:r>
              <w:rPr>
                <w:rFonts w:hint="eastAsia" w:ascii="Times New Roman" w:hAnsi="宋体" w:eastAsia="宋体" w:cs="Times New Roman"/>
                <w:kern w:val="0"/>
                <w:sz w:val="22"/>
                <w:szCs w:val="22"/>
                <w:lang w:val="en-US" w:eastAsia="zh-CN" w:bidi="zh-CN"/>
              </w:rPr>
              <w:t>△</w:t>
            </w:r>
            <w:r>
              <w:rPr>
                <w:rFonts w:hint="eastAsia" w:ascii="Times New Roman" w:hAnsi="Times New Roman" w:eastAsia="宋体" w:cs="Times New Roman"/>
                <w:kern w:val="0"/>
                <w:sz w:val="22"/>
                <w:szCs w:val="22"/>
                <w:lang w:val="en-US" w:eastAsia="zh-CN" w:bidi="zh-CN"/>
              </w:rPr>
              <w:t>9</w:t>
            </w:r>
          </w:p>
        </w:tc>
        <w:tc>
          <w:tcPr>
            <w:tcW w:w="4471" w:type="pct"/>
            <w:noWrap w:val="0"/>
            <w:vAlign w:val="center"/>
          </w:tcPr>
          <w:p w14:paraId="66E50ADC">
            <w:pPr>
              <w:widowControl w:val="0"/>
              <w:autoSpaceDE w:val="0"/>
              <w:autoSpaceDN w:val="0"/>
              <w:spacing w:before="3"/>
              <w:ind w:left="107"/>
              <w:jc w:val="both"/>
              <w:rPr>
                <w:rFonts w:ascii="Times New Roman" w:hAnsi="Times New Roman" w:eastAsia="宋体" w:cs="Times New Roman"/>
                <w:kern w:val="0"/>
                <w:sz w:val="22"/>
                <w:szCs w:val="22"/>
                <w:lang w:val="zh-CN" w:eastAsia="zh-CN" w:bidi="zh-CN"/>
              </w:rPr>
            </w:pPr>
            <w:r>
              <w:rPr>
                <w:rFonts w:ascii="宋体" w:hAnsi="宋体" w:eastAsia="宋体" w:cs="宋体"/>
                <w:kern w:val="2"/>
                <w:sz w:val="22"/>
                <w:szCs w:val="22"/>
                <w:lang w:val="en-US" w:eastAsia="zh-CN" w:bidi="ar-SA"/>
              </w:rPr>
              <w:t>供应商应拥有十台及以上质谱仪，需提供采购合同</w:t>
            </w:r>
            <w:r>
              <w:rPr>
                <w:rFonts w:hint="eastAsia" w:ascii="宋体" w:hAnsi="宋体" w:eastAsia="宋体" w:cs="宋体"/>
                <w:kern w:val="2"/>
                <w:sz w:val="22"/>
                <w:szCs w:val="22"/>
                <w:lang w:val="en-US" w:eastAsia="zh-CN" w:bidi="ar-SA"/>
              </w:rPr>
              <w:t>或</w:t>
            </w:r>
            <w:r>
              <w:rPr>
                <w:rFonts w:ascii="宋体" w:hAnsi="宋体" w:eastAsia="宋体" w:cs="宋体"/>
                <w:kern w:val="2"/>
                <w:sz w:val="22"/>
                <w:szCs w:val="22"/>
                <w:lang w:val="en-US" w:eastAsia="zh-CN" w:bidi="ar-SA"/>
              </w:rPr>
              <w:t>发票复印件（设备应为投标人所有，提供的采购合同和发票复印件买方须为投标人），并提供医疗器械注册证复印件</w:t>
            </w:r>
            <w:r>
              <w:rPr>
                <w:rFonts w:hint="eastAsia" w:ascii="宋体" w:hAnsi="宋体" w:eastAsia="宋体" w:cs="宋体"/>
                <w:kern w:val="2"/>
                <w:sz w:val="22"/>
                <w:szCs w:val="22"/>
                <w:lang w:val="en-US" w:eastAsia="zh-CN" w:bidi="ar-SA"/>
              </w:rPr>
              <w:t>。</w:t>
            </w:r>
          </w:p>
        </w:tc>
      </w:tr>
      <w:tr w14:paraId="1E59F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528" w:type="pct"/>
            <w:noWrap w:val="0"/>
            <w:vAlign w:val="center"/>
          </w:tcPr>
          <w:p w14:paraId="3E9435E9">
            <w:pPr>
              <w:widowControl w:val="0"/>
              <w:autoSpaceDE w:val="0"/>
              <w:autoSpaceDN w:val="0"/>
              <w:spacing w:before="3"/>
              <w:ind w:left="12"/>
              <w:jc w:val="center"/>
              <w:rPr>
                <w:rFonts w:hint="default" w:ascii="Times New Roman" w:hAnsi="Times New Roman" w:eastAsia="宋体" w:cs="Times New Roman"/>
                <w:kern w:val="0"/>
                <w:sz w:val="22"/>
                <w:szCs w:val="22"/>
                <w:lang w:val="en-US" w:eastAsia="zh-CN" w:bidi="zh-CN"/>
              </w:rPr>
            </w:pPr>
            <w:r>
              <w:rPr>
                <w:rFonts w:hint="eastAsia" w:ascii="Times New Roman" w:hAnsi="Times New Roman" w:eastAsia="宋体" w:cs="Times New Roman"/>
                <w:kern w:val="0"/>
                <w:sz w:val="22"/>
                <w:szCs w:val="22"/>
                <w:lang w:val="en-US" w:eastAsia="zh-CN" w:bidi="zh-CN"/>
              </w:rPr>
              <w:t>10</w:t>
            </w:r>
          </w:p>
        </w:tc>
        <w:tc>
          <w:tcPr>
            <w:tcW w:w="4471" w:type="pct"/>
            <w:noWrap w:val="0"/>
            <w:vAlign w:val="center"/>
          </w:tcPr>
          <w:p w14:paraId="0F525BA0">
            <w:pPr>
              <w:widowControl w:val="0"/>
              <w:autoSpaceDE w:val="0"/>
              <w:autoSpaceDN w:val="0"/>
              <w:spacing w:before="3"/>
              <w:ind w:left="107"/>
              <w:jc w:val="both"/>
              <w:rPr>
                <w:rFonts w:ascii="Times New Roman" w:hAnsi="Times New Roman" w:eastAsia="宋体" w:cs="Times New Roman"/>
                <w:kern w:val="0"/>
                <w:sz w:val="22"/>
                <w:szCs w:val="22"/>
                <w:lang w:val="zh-CN" w:eastAsia="zh-CN" w:bidi="zh-CN"/>
              </w:rPr>
            </w:pPr>
            <w:r>
              <w:rPr>
                <w:rFonts w:ascii="Times New Roman" w:hAnsi="宋体" w:eastAsia="宋体" w:cs="Times New Roman"/>
                <w:spacing w:val="-8"/>
                <w:kern w:val="0"/>
                <w:sz w:val="22"/>
                <w:szCs w:val="22"/>
                <w:lang w:val="zh-CN" w:eastAsia="zh-CN" w:bidi="zh-CN"/>
              </w:rPr>
              <w:t>投</w:t>
            </w:r>
            <w:r>
              <w:rPr>
                <w:rFonts w:ascii="Times New Roman" w:hAnsi="宋体" w:eastAsia="宋体" w:cs="Times New Roman"/>
                <w:kern w:val="0"/>
                <w:sz w:val="22"/>
                <w:szCs w:val="22"/>
                <w:lang w:val="zh-CN" w:eastAsia="zh-CN" w:bidi="zh-CN"/>
              </w:rPr>
              <w:t>标报价含外送检测服务所有产生的费用。本项目费用包括但不限于检测所需的所有试剂耗材消耗、检测设备使用折旧、提供运输服务、配套车辆设备、配备服务人员、设备维护保养、微生物消毒、外送标本检验等及其涉及的运费、油费、税费等全部费用。</w:t>
            </w:r>
          </w:p>
        </w:tc>
      </w:tr>
      <w:tr w14:paraId="671F3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8" w:type="pct"/>
            <w:noWrap w:val="0"/>
            <w:vAlign w:val="center"/>
          </w:tcPr>
          <w:p w14:paraId="3C74F59A">
            <w:pPr>
              <w:widowControl w:val="0"/>
              <w:autoSpaceDE w:val="0"/>
              <w:autoSpaceDN w:val="0"/>
              <w:jc w:val="center"/>
              <w:rPr>
                <w:rFonts w:hint="default" w:ascii="Times New Roman" w:hAnsi="Times New Roman" w:eastAsia="宋体" w:cs="Times New Roman"/>
                <w:kern w:val="0"/>
                <w:sz w:val="22"/>
                <w:szCs w:val="22"/>
                <w:lang w:val="en-US" w:eastAsia="zh-CN" w:bidi="zh-CN"/>
              </w:rPr>
            </w:pPr>
            <w:r>
              <w:rPr>
                <w:rFonts w:hint="eastAsia" w:ascii="Times New Roman" w:hAnsi="宋体" w:eastAsia="宋体" w:cs="Times New Roman"/>
                <w:kern w:val="0"/>
                <w:sz w:val="22"/>
                <w:szCs w:val="22"/>
                <w:lang w:val="en-US" w:eastAsia="zh-CN" w:bidi="zh-CN"/>
              </w:rPr>
              <w:t>△</w:t>
            </w:r>
            <w:r>
              <w:rPr>
                <w:rFonts w:hint="eastAsia" w:ascii="Times New Roman" w:hAnsi="Times New Roman" w:eastAsia="宋体" w:cs="Times New Roman"/>
                <w:kern w:val="0"/>
                <w:sz w:val="22"/>
                <w:szCs w:val="22"/>
                <w:lang w:val="en-US" w:eastAsia="zh-CN" w:bidi="zh-CN"/>
              </w:rPr>
              <w:t>11</w:t>
            </w:r>
          </w:p>
        </w:tc>
        <w:tc>
          <w:tcPr>
            <w:tcW w:w="4471" w:type="pct"/>
            <w:noWrap w:val="0"/>
            <w:vAlign w:val="center"/>
          </w:tcPr>
          <w:p w14:paraId="67696FDF">
            <w:pPr>
              <w:widowControl w:val="0"/>
              <w:autoSpaceDE w:val="0"/>
              <w:autoSpaceDN w:val="0"/>
              <w:spacing w:before="1"/>
              <w:ind w:left="107" w:right="92"/>
              <w:jc w:val="both"/>
              <w:rPr>
                <w:rFonts w:ascii="Times New Roman" w:hAnsi="宋体" w:eastAsia="宋体" w:cs="Times New Roman"/>
                <w:kern w:val="0"/>
                <w:sz w:val="22"/>
                <w:szCs w:val="22"/>
                <w:lang w:val="zh-CN" w:eastAsia="zh-CN" w:bidi="zh-CN"/>
              </w:rPr>
            </w:pPr>
            <w:r>
              <w:rPr>
                <w:rFonts w:hint="eastAsia" w:ascii="Times New Roman" w:hAnsi="宋体" w:eastAsia="宋体" w:cs="Times New Roman"/>
                <w:kern w:val="0"/>
                <w:sz w:val="22"/>
                <w:szCs w:val="22"/>
                <w:lang w:val="zh-CN" w:eastAsia="zh-CN" w:bidi="zh-CN"/>
              </w:rPr>
              <w:t>投标人需接受委托招标人实地质量考核，针对考核中的不符合项进行整改并将整改情况以图文形式反馈回委托单位。实地质量考核中出现以下情况，招标人有权</w:t>
            </w:r>
            <w:r>
              <w:rPr>
                <w:rFonts w:hint="eastAsia" w:ascii="Times New Roman" w:hAnsi="宋体" w:eastAsia="宋体" w:cs="Times New Roman"/>
                <w:kern w:val="0"/>
                <w:sz w:val="22"/>
                <w:szCs w:val="22"/>
                <w:lang w:val="en-US" w:eastAsia="zh-CN" w:bidi="zh-CN"/>
              </w:rPr>
              <w:t>取消</w:t>
            </w:r>
            <w:r>
              <w:rPr>
                <w:rFonts w:hint="eastAsia" w:ascii="Times New Roman" w:hAnsi="宋体" w:eastAsia="宋体" w:cs="Times New Roman"/>
                <w:kern w:val="0"/>
                <w:sz w:val="22"/>
                <w:szCs w:val="22"/>
                <w:lang w:val="zh-CN" w:eastAsia="zh-CN" w:bidi="zh-CN"/>
              </w:rPr>
              <w:t>合同：</w:t>
            </w:r>
          </w:p>
          <w:p w14:paraId="7ECC8647">
            <w:pPr>
              <w:widowControl w:val="0"/>
              <w:autoSpaceDE w:val="0"/>
              <w:autoSpaceDN w:val="0"/>
              <w:spacing w:before="1"/>
              <w:ind w:left="107" w:right="92"/>
              <w:jc w:val="both"/>
              <w:rPr>
                <w:rFonts w:ascii="Times New Roman" w:hAnsi="宋体" w:eastAsia="宋体" w:cs="Times New Roman"/>
                <w:kern w:val="0"/>
                <w:sz w:val="22"/>
                <w:szCs w:val="22"/>
                <w:lang w:val="zh-CN" w:eastAsia="zh-CN" w:bidi="zh-CN"/>
              </w:rPr>
            </w:pPr>
            <w:r>
              <w:rPr>
                <w:rFonts w:hint="eastAsia" w:ascii="Times New Roman" w:hAnsi="宋体" w:eastAsia="宋体" w:cs="Times New Roman"/>
                <w:kern w:val="0"/>
                <w:sz w:val="22"/>
                <w:szCs w:val="22"/>
                <w:lang w:val="zh-CN" w:eastAsia="zh-CN" w:bidi="zh-CN"/>
              </w:rPr>
              <w:t>1、检验结果数据不真实（数据与原始结果不符或无原始结果）；</w:t>
            </w:r>
          </w:p>
          <w:p w14:paraId="15541521">
            <w:pPr>
              <w:widowControl w:val="0"/>
              <w:autoSpaceDE w:val="0"/>
              <w:autoSpaceDN w:val="0"/>
              <w:spacing w:before="1"/>
              <w:ind w:left="107" w:right="92"/>
              <w:jc w:val="both"/>
              <w:rPr>
                <w:rFonts w:ascii="Times New Roman" w:hAnsi="宋体" w:eastAsia="宋体" w:cs="Times New Roman"/>
                <w:kern w:val="0"/>
                <w:sz w:val="22"/>
                <w:szCs w:val="22"/>
                <w:lang w:val="zh-CN" w:eastAsia="zh-CN" w:bidi="zh-CN"/>
              </w:rPr>
            </w:pPr>
            <w:r>
              <w:rPr>
                <w:rFonts w:hint="eastAsia" w:ascii="Times New Roman" w:hAnsi="宋体" w:eastAsia="宋体" w:cs="Times New Roman"/>
                <w:kern w:val="0"/>
                <w:sz w:val="22"/>
                <w:szCs w:val="22"/>
                <w:lang w:val="zh-CN" w:eastAsia="zh-CN" w:bidi="zh-CN"/>
              </w:rPr>
              <w:t>2、项目无质量保证方案或未按方案执行；</w:t>
            </w:r>
          </w:p>
          <w:p w14:paraId="64E5220E">
            <w:pPr>
              <w:widowControl w:val="0"/>
              <w:autoSpaceDE w:val="0"/>
              <w:autoSpaceDN w:val="0"/>
              <w:spacing w:before="1"/>
              <w:ind w:right="-29"/>
              <w:jc w:val="both"/>
              <w:rPr>
                <w:rFonts w:ascii="Times New Roman" w:hAnsi="Times New Roman" w:eastAsia="宋体" w:cs="Times New Roman"/>
                <w:kern w:val="0"/>
                <w:sz w:val="22"/>
                <w:szCs w:val="22"/>
                <w:lang w:val="zh-CN" w:eastAsia="zh-CN" w:bidi="zh-CN"/>
              </w:rPr>
            </w:pPr>
            <w:r>
              <w:rPr>
                <w:rFonts w:hint="eastAsia" w:ascii="Times New Roman" w:hAnsi="宋体" w:eastAsia="宋体" w:cs="Times New Roman"/>
                <w:kern w:val="0"/>
                <w:sz w:val="22"/>
                <w:szCs w:val="22"/>
                <w:lang w:val="zh-CN" w:eastAsia="zh-CN" w:bidi="zh-CN"/>
              </w:rPr>
              <w:t>3、泄露委托方样本患者信息或隐私数据。</w:t>
            </w:r>
          </w:p>
        </w:tc>
      </w:tr>
      <w:tr w14:paraId="2816B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528" w:type="pct"/>
            <w:noWrap w:val="0"/>
            <w:vAlign w:val="center"/>
          </w:tcPr>
          <w:p w14:paraId="69973D5F">
            <w:pPr>
              <w:widowControl w:val="0"/>
              <w:autoSpaceDE w:val="0"/>
              <w:autoSpaceDN w:val="0"/>
              <w:ind w:left="12"/>
              <w:jc w:val="center"/>
              <w:rPr>
                <w:rFonts w:hint="default" w:ascii="Times New Roman" w:hAnsi="Times New Roman" w:eastAsia="宋体" w:cs="Times New Roman"/>
                <w:kern w:val="0"/>
                <w:sz w:val="22"/>
                <w:szCs w:val="22"/>
                <w:lang w:val="en-US" w:eastAsia="zh-CN" w:bidi="zh-CN"/>
              </w:rPr>
            </w:pPr>
            <w:r>
              <w:rPr>
                <w:rFonts w:hint="eastAsia" w:ascii="Times New Roman" w:hAnsi="Times New Roman" w:eastAsia="宋体" w:cs="Times New Roman"/>
                <w:kern w:val="0"/>
                <w:sz w:val="22"/>
                <w:szCs w:val="22"/>
                <w:lang w:val="en-US" w:eastAsia="zh-CN" w:bidi="zh-CN"/>
              </w:rPr>
              <w:t>12</w:t>
            </w:r>
          </w:p>
        </w:tc>
        <w:tc>
          <w:tcPr>
            <w:tcW w:w="4471" w:type="pct"/>
            <w:noWrap w:val="0"/>
            <w:vAlign w:val="center"/>
          </w:tcPr>
          <w:p w14:paraId="641A16DB">
            <w:pPr>
              <w:widowControl w:val="0"/>
              <w:autoSpaceDE w:val="0"/>
              <w:autoSpaceDN w:val="0"/>
              <w:spacing w:before="1"/>
              <w:ind w:left="107" w:right="89"/>
              <w:jc w:val="both"/>
              <w:rPr>
                <w:rFonts w:ascii="Times New Roman" w:hAnsi="Times New Roman" w:eastAsia="宋体" w:cs="Times New Roman"/>
                <w:kern w:val="0"/>
                <w:sz w:val="22"/>
                <w:szCs w:val="22"/>
                <w:lang w:val="zh-CN" w:eastAsia="zh-CN" w:bidi="zh-CN"/>
              </w:rPr>
            </w:pPr>
            <w:r>
              <w:rPr>
                <w:rFonts w:hint="eastAsia" w:ascii="宋体" w:hAnsi="宋体" w:eastAsia="宋体" w:cs="宋体"/>
                <w:kern w:val="0"/>
                <w:sz w:val="22"/>
                <w:szCs w:val="22"/>
                <w:lang w:val="zh-CN" w:eastAsia="zh-CN" w:bidi="zh-CN"/>
              </w:rPr>
              <w:t>投标人</w:t>
            </w:r>
            <w:r>
              <w:rPr>
                <w:rFonts w:hint="eastAsia" w:ascii="宋体" w:hAnsi="宋体" w:eastAsia="宋体" w:cs="宋体"/>
                <w:kern w:val="0"/>
                <w:sz w:val="22"/>
                <w:szCs w:val="22"/>
                <w:lang w:val="en-US" w:eastAsia="zh-CN" w:bidi="zh-CN"/>
              </w:rPr>
              <w:t>需提供专业客户服务人员，服务时效：日常电话及时应答，投诉2小时内回复。</w:t>
            </w:r>
          </w:p>
        </w:tc>
      </w:tr>
      <w:tr w14:paraId="7C232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28" w:type="pct"/>
            <w:noWrap w:val="0"/>
            <w:vAlign w:val="center"/>
          </w:tcPr>
          <w:p w14:paraId="1D7B9301">
            <w:pPr>
              <w:widowControl w:val="0"/>
              <w:autoSpaceDE w:val="0"/>
              <w:autoSpaceDN w:val="0"/>
              <w:ind w:left="12"/>
              <w:jc w:val="center"/>
              <w:rPr>
                <w:rFonts w:hint="default" w:ascii="Times New Roman" w:hAnsi="Times New Roman" w:eastAsia="宋体" w:cs="Times New Roman"/>
                <w:kern w:val="0"/>
                <w:sz w:val="22"/>
                <w:szCs w:val="22"/>
                <w:lang w:val="en-US" w:eastAsia="zh-CN" w:bidi="zh-CN"/>
              </w:rPr>
            </w:pPr>
            <w:r>
              <w:rPr>
                <w:rFonts w:hint="eastAsia" w:ascii="Times New Roman" w:hAnsi="宋体" w:eastAsia="宋体" w:cs="Times New Roman"/>
                <w:kern w:val="0"/>
                <w:sz w:val="22"/>
                <w:szCs w:val="22"/>
                <w:lang w:val="en-US" w:eastAsia="zh-CN" w:bidi="zh-CN"/>
              </w:rPr>
              <w:t>▲</w:t>
            </w:r>
            <w:r>
              <w:rPr>
                <w:rFonts w:hint="eastAsia" w:ascii="Times New Roman" w:hAnsi="Times New Roman" w:eastAsia="宋体" w:cs="Times New Roman"/>
                <w:kern w:val="0"/>
                <w:sz w:val="22"/>
                <w:szCs w:val="22"/>
                <w:lang w:val="en-US" w:eastAsia="zh-CN" w:bidi="zh-CN"/>
              </w:rPr>
              <w:t>13</w:t>
            </w:r>
          </w:p>
        </w:tc>
        <w:tc>
          <w:tcPr>
            <w:tcW w:w="4471" w:type="pct"/>
            <w:noWrap w:val="0"/>
            <w:vAlign w:val="center"/>
          </w:tcPr>
          <w:p w14:paraId="4A165479">
            <w:pPr>
              <w:widowControl w:val="0"/>
              <w:autoSpaceDE w:val="0"/>
              <w:autoSpaceDN w:val="0"/>
              <w:spacing w:before="1"/>
              <w:ind w:left="107" w:right="92"/>
              <w:jc w:val="both"/>
              <w:rPr>
                <w:rFonts w:ascii="Times New Roman" w:hAnsi="Times New Roman" w:eastAsia="宋体" w:cs="Times New Roman"/>
                <w:kern w:val="0"/>
                <w:sz w:val="22"/>
                <w:szCs w:val="22"/>
                <w:lang w:val="zh-CN" w:eastAsia="zh-CN" w:bidi="zh-CN"/>
              </w:rPr>
            </w:pPr>
            <w:r>
              <w:rPr>
                <w:rFonts w:hint="eastAsia" w:ascii="宋体" w:hAnsi="宋体" w:eastAsia="宋体" w:cs="宋体"/>
                <w:kern w:val="0"/>
                <w:sz w:val="22"/>
                <w:szCs w:val="22"/>
                <w:lang w:val="en-US" w:eastAsia="zh-CN" w:bidi="zh-CN"/>
              </w:rPr>
              <w:t>合作的第三方检测机构不得转委托，如存在层层委托现象，医院一经发现有权终止合同。提供承诺函。</w:t>
            </w:r>
          </w:p>
        </w:tc>
      </w:tr>
      <w:tr w14:paraId="445E0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28" w:type="pct"/>
            <w:noWrap w:val="0"/>
            <w:vAlign w:val="center"/>
          </w:tcPr>
          <w:p w14:paraId="5D01836E">
            <w:pPr>
              <w:widowControl w:val="0"/>
              <w:autoSpaceDE w:val="0"/>
              <w:autoSpaceDN w:val="0"/>
              <w:ind w:left="12"/>
              <w:jc w:val="center"/>
              <w:rPr>
                <w:rFonts w:hint="default" w:ascii="Times New Roman" w:hAnsi="Times New Roman" w:eastAsia="宋体" w:cs="Times New Roman"/>
                <w:kern w:val="0"/>
                <w:sz w:val="22"/>
                <w:szCs w:val="22"/>
                <w:lang w:val="en-US" w:eastAsia="zh-CN" w:bidi="zh-CN"/>
              </w:rPr>
            </w:pPr>
            <w:r>
              <w:rPr>
                <w:rFonts w:hint="eastAsia" w:ascii="Times New Roman" w:hAnsi="宋体" w:eastAsia="宋体" w:cs="Times New Roman"/>
                <w:kern w:val="0"/>
                <w:sz w:val="22"/>
                <w:szCs w:val="22"/>
                <w:lang w:val="en-US" w:eastAsia="zh-CN" w:bidi="zh-CN"/>
              </w:rPr>
              <w:t>△</w:t>
            </w:r>
            <w:r>
              <w:rPr>
                <w:rFonts w:hint="eastAsia" w:ascii="Times New Roman" w:hAnsi="Times New Roman" w:eastAsia="宋体" w:cs="Times New Roman"/>
                <w:kern w:val="0"/>
                <w:sz w:val="22"/>
                <w:szCs w:val="22"/>
                <w:lang w:val="en-US" w:eastAsia="zh-CN" w:bidi="zh-CN"/>
              </w:rPr>
              <w:t>14</w:t>
            </w:r>
          </w:p>
        </w:tc>
        <w:tc>
          <w:tcPr>
            <w:tcW w:w="4471" w:type="pct"/>
            <w:noWrap w:val="0"/>
            <w:vAlign w:val="center"/>
          </w:tcPr>
          <w:p w14:paraId="600B4B43">
            <w:pPr>
              <w:widowControl w:val="0"/>
              <w:autoSpaceDE w:val="0"/>
              <w:autoSpaceDN w:val="0"/>
              <w:spacing w:before="1"/>
              <w:ind w:left="107" w:right="92"/>
              <w:jc w:val="both"/>
              <w:rPr>
                <w:rFonts w:ascii="Times New Roman" w:hAnsi="Times New Roman" w:eastAsia="宋体" w:cs="Times New Roman"/>
                <w:kern w:val="0"/>
                <w:sz w:val="22"/>
                <w:szCs w:val="22"/>
                <w:lang w:val="en-US" w:eastAsia="zh-CN" w:bidi="zh-CN"/>
              </w:rPr>
            </w:pPr>
            <w:r>
              <w:rPr>
                <w:rFonts w:hint="eastAsia" w:ascii="Times New Roman" w:hAnsi="Times New Roman" w:eastAsia="宋体" w:cs="Times New Roman"/>
                <w:kern w:val="0"/>
                <w:sz w:val="22"/>
                <w:szCs w:val="22"/>
                <w:lang w:val="en-US" w:eastAsia="zh-CN" w:bidi="zh-CN"/>
              </w:rPr>
              <w:t>投标人具备项目相关的科研数据平台，提供平台截图及网址。</w:t>
            </w:r>
          </w:p>
        </w:tc>
      </w:tr>
      <w:tr w14:paraId="373A4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28" w:type="pct"/>
            <w:noWrap w:val="0"/>
            <w:vAlign w:val="center"/>
          </w:tcPr>
          <w:p w14:paraId="483E3446">
            <w:pPr>
              <w:widowControl w:val="0"/>
              <w:autoSpaceDE w:val="0"/>
              <w:autoSpaceDN w:val="0"/>
              <w:ind w:left="12"/>
              <w:jc w:val="center"/>
              <w:rPr>
                <w:rFonts w:hint="default" w:ascii="Times New Roman" w:hAnsi="宋体" w:eastAsia="宋体" w:cs="Times New Roman"/>
                <w:kern w:val="0"/>
                <w:sz w:val="22"/>
                <w:szCs w:val="22"/>
                <w:lang w:val="en-US" w:eastAsia="zh-CN" w:bidi="zh-CN"/>
              </w:rPr>
            </w:pPr>
            <w:r>
              <w:rPr>
                <w:rFonts w:hint="eastAsia" w:ascii="Times New Roman" w:hAnsi="宋体" w:eastAsia="宋体" w:cs="Times New Roman"/>
                <w:kern w:val="0"/>
                <w:sz w:val="22"/>
                <w:szCs w:val="22"/>
                <w:lang w:val="en-US" w:eastAsia="zh-CN" w:bidi="zh-CN"/>
              </w:rPr>
              <w:t>15</w:t>
            </w:r>
          </w:p>
        </w:tc>
        <w:tc>
          <w:tcPr>
            <w:tcW w:w="4471" w:type="pct"/>
            <w:noWrap w:val="0"/>
            <w:vAlign w:val="center"/>
          </w:tcPr>
          <w:p w14:paraId="21D46A36">
            <w:pPr>
              <w:widowControl w:val="0"/>
              <w:autoSpaceDE w:val="0"/>
              <w:autoSpaceDN w:val="0"/>
              <w:spacing w:before="1"/>
              <w:ind w:left="107" w:right="92"/>
              <w:jc w:val="both"/>
              <w:rPr>
                <w:rFonts w:hint="eastAsia" w:ascii="Times New Roman" w:hAnsi="Times New Roman" w:eastAsia="宋体" w:cs="Times New Roman"/>
                <w:kern w:val="0"/>
                <w:sz w:val="22"/>
                <w:szCs w:val="22"/>
                <w:lang w:val="en-US" w:eastAsia="zh-CN" w:bidi="zh-CN"/>
              </w:rPr>
            </w:pPr>
            <w:r>
              <w:rPr>
                <w:rFonts w:hint="eastAsia" w:ascii="Times New Roman" w:hAnsi="Times New Roman" w:eastAsia="宋体" w:cs="Times New Roman"/>
                <w:kern w:val="0"/>
                <w:sz w:val="22"/>
                <w:szCs w:val="22"/>
                <w:lang w:val="en-US" w:eastAsia="zh-CN" w:bidi="zh-CN"/>
              </w:rPr>
              <w:t>检测项目技术要求</w:t>
            </w:r>
          </w:p>
        </w:tc>
      </w:tr>
      <w:tr w14:paraId="0AEE6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28" w:type="pct"/>
            <w:noWrap w:val="0"/>
            <w:vAlign w:val="center"/>
          </w:tcPr>
          <w:p w14:paraId="76E697E4">
            <w:pPr>
              <w:widowControl w:val="0"/>
              <w:autoSpaceDE w:val="0"/>
              <w:autoSpaceDN w:val="0"/>
              <w:ind w:left="12"/>
              <w:jc w:val="center"/>
              <w:rPr>
                <w:rFonts w:ascii="Times New Roman" w:hAnsi="宋体" w:eastAsia="宋体" w:cs="Times New Roman"/>
                <w:kern w:val="0"/>
                <w:sz w:val="22"/>
                <w:szCs w:val="22"/>
                <w:lang w:val="en-US" w:eastAsia="zh-CN" w:bidi="zh-CN"/>
              </w:rPr>
            </w:pPr>
            <w:r>
              <w:rPr>
                <w:rFonts w:hint="eastAsia" w:ascii="Times New Roman" w:hAnsi="宋体" w:eastAsia="宋体" w:cs="Times New Roman"/>
                <w:kern w:val="0"/>
                <w:sz w:val="22"/>
                <w:szCs w:val="22"/>
                <w:lang w:val="en-US" w:eastAsia="zh-CN" w:bidi="zh-CN"/>
              </w:rPr>
              <w:t>15</w:t>
            </w:r>
            <w:r>
              <w:rPr>
                <w:rFonts w:ascii="Times New Roman" w:hAnsi="宋体" w:eastAsia="宋体" w:cs="Times New Roman"/>
                <w:kern w:val="0"/>
                <w:sz w:val="22"/>
                <w:szCs w:val="22"/>
                <w:lang w:val="en-US" w:eastAsia="zh-CN" w:bidi="zh-CN"/>
              </w:rPr>
              <w:t>.1</w:t>
            </w:r>
          </w:p>
        </w:tc>
        <w:tc>
          <w:tcPr>
            <w:tcW w:w="4471" w:type="pct"/>
            <w:noWrap w:val="0"/>
            <w:vAlign w:val="center"/>
          </w:tcPr>
          <w:p w14:paraId="366C1DFA">
            <w:pPr>
              <w:widowControl w:val="0"/>
              <w:autoSpaceDE w:val="0"/>
              <w:autoSpaceDN w:val="0"/>
              <w:spacing w:before="1"/>
              <w:ind w:left="107" w:right="92"/>
              <w:jc w:val="both"/>
              <w:rPr>
                <w:rFonts w:ascii="宋体" w:hAnsi="宋体" w:eastAsia="宋体" w:cs="宋体"/>
                <w:kern w:val="0"/>
                <w:sz w:val="22"/>
                <w:szCs w:val="22"/>
                <w:lang w:val="en-US" w:eastAsia="zh-CN" w:bidi="zh-CN"/>
              </w:rPr>
            </w:pPr>
            <w:r>
              <w:rPr>
                <w:rFonts w:hint="eastAsia" w:ascii="宋体" w:hAnsi="宋体" w:eastAsia="宋体" w:cs="宋体"/>
                <w:kern w:val="0"/>
                <w:sz w:val="22"/>
                <w:szCs w:val="22"/>
                <w:lang w:val="en-US" w:eastAsia="zh-CN" w:bidi="zh-CN"/>
              </w:rPr>
              <w:t>检测结果准确度：相对偏差(%)≤15%；</w:t>
            </w:r>
          </w:p>
          <w:p w14:paraId="65C299C1">
            <w:pPr>
              <w:widowControl w:val="0"/>
              <w:autoSpaceDE w:val="0"/>
              <w:autoSpaceDN w:val="0"/>
              <w:spacing w:before="1"/>
              <w:ind w:left="107" w:right="92"/>
              <w:jc w:val="both"/>
              <w:rPr>
                <w:rFonts w:ascii="宋体" w:hAnsi="宋体" w:eastAsia="宋体" w:cs="宋体"/>
                <w:kern w:val="0"/>
                <w:sz w:val="22"/>
                <w:szCs w:val="22"/>
                <w:lang w:val="en-US" w:eastAsia="zh-CN" w:bidi="zh-CN"/>
              </w:rPr>
            </w:pPr>
            <w:r>
              <w:rPr>
                <w:rFonts w:hint="eastAsia" w:ascii="宋体" w:hAnsi="宋体" w:eastAsia="宋体" w:cs="宋体"/>
                <w:kern w:val="0"/>
                <w:sz w:val="22"/>
                <w:szCs w:val="22"/>
                <w:lang w:val="en-US" w:eastAsia="zh-CN" w:bidi="zh-CN"/>
              </w:rPr>
              <w:t>精密度：批内精密度：变异系数(CV%)≤15%；批间精密度：变异系数(CV%)≤15%。提供性能验证报告</w:t>
            </w:r>
            <w:r>
              <w:rPr>
                <w:rFonts w:hint="eastAsia" w:ascii="Times New Roman" w:hAnsi="Times New Roman" w:eastAsia="宋体" w:cs="Times New Roman"/>
                <w:kern w:val="0"/>
                <w:sz w:val="22"/>
                <w:szCs w:val="22"/>
                <w:lang w:val="en-US" w:eastAsia="zh-CN" w:bidi="zh-CN"/>
              </w:rPr>
              <w:t>。</w:t>
            </w:r>
          </w:p>
        </w:tc>
      </w:tr>
      <w:tr w14:paraId="2CDF0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28" w:type="pct"/>
            <w:noWrap w:val="0"/>
            <w:vAlign w:val="center"/>
          </w:tcPr>
          <w:p w14:paraId="1D5F5297">
            <w:pPr>
              <w:widowControl w:val="0"/>
              <w:autoSpaceDE w:val="0"/>
              <w:autoSpaceDN w:val="0"/>
              <w:ind w:left="12"/>
              <w:jc w:val="center"/>
              <w:rPr>
                <w:rFonts w:hint="eastAsia" w:ascii="Times New Roman" w:hAnsi="宋体" w:eastAsia="宋体" w:cs="Times New Roman"/>
                <w:kern w:val="0"/>
                <w:sz w:val="22"/>
                <w:szCs w:val="22"/>
                <w:lang w:val="en-US" w:eastAsia="zh-CN" w:bidi="zh-CN"/>
              </w:rPr>
            </w:pPr>
            <w:r>
              <w:rPr>
                <w:rFonts w:hint="eastAsia" w:ascii="Times New Roman" w:hAnsi="宋体" w:eastAsia="宋体" w:cs="Times New Roman"/>
                <w:kern w:val="0"/>
                <w:sz w:val="22"/>
                <w:szCs w:val="22"/>
                <w:lang w:val="en-US" w:eastAsia="zh-CN" w:bidi="zh-CN"/>
              </w:rPr>
              <w:t>15</w:t>
            </w:r>
            <w:r>
              <w:rPr>
                <w:rFonts w:ascii="Times New Roman" w:hAnsi="宋体" w:eastAsia="宋体" w:cs="Times New Roman"/>
                <w:kern w:val="0"/>
                <w:sz w:val="22"/>
                <w:szCs w:val="22"/>
                <w:lang w:val="en-US" w:eastAsia="zh-CN" w:bidi="zh-CN"/>
              </w:rPr>
              <w:t>.2</w:t>
            </w:r>
          </w:p>
        </w:tc>
        <w:tc>
          <w:tcPr>
            <w:tcW w:w="4471" w:type="pct"/>
            <w:noWrap w:val="0"/>
            <w:vAlign w:val="center"/>
          </w:tcPr>
          <w:p w14:paraId="48B034AB">
            <w:pPr>
              <w:widowControl w:val="0"/>
              <w:autoSpaceDE w:val="0"/>
              <w:autoSpaceDN w:val="0"/>
              <w:spacing w:before="1"/>
              <w:ind w:left="107" w:right="92"/>
              <w:jc w:val="both"/>
              <w:rPr>
                <w:rFonts w:hint="eastAsia" w:ascii="宋体" w:hAnsi="宋体" w:eastAsia="宋体" w:cs="宋体"/>
                <w:kern w:val="0"/>
                <w:sz w:val="22"/>
                <w:szCs w:val="22"/>
                <w:lang w:val="en-US" w:eastAsia="zh-CN" w:bidi="zh-CN"/>
              </w:rPr>
            </w:pPr>
            <w:r>
              <w:rPr>
                <w:rFonts w:hint="eastAsia" w:ascii="宋体" w:hAnsi="宋体" w:eastAsia="宋体" w:cs="宋体"/>
                <w:kern w:val="0"/>
                <w:sz w:val="22"/>
                <w:szCs w:val="22"/>
                <w:lang w:val="en-US" w:eastAsia="zh-CN" w:bidi="zh-CN"/>
              </w:rPr>
              <w:t>投标时需提供项目所需试剂清单及对应的厂家医疗器械注册证或备案凭证（投标时提供证明文件）。</w:t>
            </w:r>
          </w:p>
        </w:tc>
      </w:tr>
      <w:tr w14:paraId="130E6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28" w:type="pct"/>
            <w:noWrap w:val="0"/>
            <w:vAlign w:val="center"/>
          </w:tcPr>
          <w:p w14:paraId="77918B4E">
            <w:pPr>
              <w:widowControl w:val="0"/>
              <w:autoSpaceDE w:val="0"/>
              <w:autoSpaceDN w:val="0"/>
              <w:ind w:left="12"/>
              <w:jc w:val="center"/>
              <w:rPr>
                <w:rFonts w:hint="eastAsia" w:ascii="Times New Roman" w:hAnsi="宋体" w:eastAsia="宋体" w:cs="Times New Roman"/>
                <w:kern w:val="0"/>
                <w:sz w:val="22"/>
                <w:szCs w:val="22"/>
                <w:lang w:val="en-US" w:eastAsia="zh-CN" w:bidi="zh-CN"/>
              </w:rPr>
            </w:pPr>
            <w:r>
              <w:rPr>
                <w:rFonts w:hint="eastAsia" w:ascii="Times New Roman" w:hAnsi="宋体" w:eastAsia="宋体" w:cs="Times New Roman"/>
                <w:kern w:val="0"/>
                <w:sz w:val="22"/>
                <w:szCs w:val="22"/>
                <w:lang w:val="en-US" w:eastAsia="zh-CN" w:bidi="zh-CN"/>
              </w:rPr>
              <w:t>15</w:t>
            </w:r>
            <w:r>
              <w:rPr>
                <w:rFonts w:ascii="Times New Roman" w:hAnsi="宋体" w:eastAsia="宋体" w:cs="Times New Roman"/>
                <w:kern w:val="0"/>
                <w:sz w:val="22"/>
                <w:szCs w:val="22"/>
                <w:lang w:val="en-US" w:eastAsia="zh-CN" w:bidi="zh-CN"/>
              </w:rPr>
              <w:t>.3</w:t>
            </w:r>
          </w:p>
        </w:tc>
        <w:tc>
          <w:tcPr>
            <w:tcW w:w="4471" w:type="pct"/>
            <w:noWrap w:val="0"/>
            <w:vAlign w:val="center"/>
          </w:tcPr>
          <w:p w14:paraId="37D0893A">
            <w:pPr>
              <w:widowControl w:val="0"/>
              <w:autoSpaceDE w:val="0"/>
              <w:autoSpaceDN w:val="0"/>
              <w:spacing w:before="1"/>
              <w:ind w:left="107" w:right="92"/>
              <w:jc w:val="both"/>
              <w:rPr>
                <w:rFonts w:hint="eastAsia" w:ascii="宋体" w:hAnsi="宋体" w:eastAsia="宋体" w:cs="宋体"/>
                <w:kern w:val="0"/>
                <w:sz w:val="22"/>
                <w:szCs w:val="22"/>
                <w:lang w:val="en-US" w:eastAsia="zh-CN" w:bidi="zh-CN"/>
              </w:rPr>
            </w:pPr>
            <w:r>
              <w:rPr>
                <w:rFonts w:hint="eastAsia" w:ascii="宋体" w:hAnsi="宋体" w:eastAsia="宋体" w:cs="宋体"/>
                <w:kern w:val="0"/>
                <w:sz w:val="22"/>
                <w:szCs w:val="22"/>
                <w:lang w:val="zh-CN" w:eastAsia="zh-CN" w:bidi="zh-CN"/>
              </w:rPr>
              <w:t>投标时提供</w:t>
            </w:r>
            <w:r>
              <w:rPr>
                <w:rFonts w:ascii="宋体" w:hAnsi="宋体" w:eastAsia="宋体" w:cs="宋体"/>
                <w:kern w:val="0"/>
                <w:sz w:val="22"/>
                <w:szCs w:val="22"/>
                <w:lang w:val="zh-CN" w:eastAsia="zh-CN" w:bidi="zh-CN"/>
              </w:rPr>
              <w:t>继发性高血压病因筛查</w:t>
            </w:r>
            <w:r>
              <w:rPr>
                <w:rFonts w:hint="eastAsia" w:ascii="宋体" w:hAnsi="宋体" w:eastAsia="宋体" w:cs="宋体"/>
                <w:kern w:val="0"/>
                <w:sz w:val="22"/>
                <w:szCs w:val="22"/>
                <w:lang w:val="zh-CN" w:eastAsia="zh-CN" w:bidi="zh-CN"/>
              </w:rPr>
              <w:t>项目的实验操作S</w:t>
            </w:r>
            <w:r>
              <w:rPr>
                <w:rFonts w:ascii="宋体" w:hAnsi="宋体" w:eastAsia="宋体" w:cs="宋体"/>
                <w:kern w:val="0"/>
                <w:sz w:val="22"/>
                <w:szCs w:val="22"/>
                <w:lang w:val="zh-CN" w:eastAsia="zh-CN" w:bidi="zh-CN"/>
              </w:rPr>
              <w:t>OP</w:t>
            </w:r>
            <w:r>
              <w:rPr>
                <w:rFonts w:hint="eastAsia" w:ascii="宋体" w:hAnsi="宋体" w:eastAsia="宋体" w:cs="宋体"/>
                <w:kern w:val="0"/>
                <w:sz w:val="22"/>
                <w:szCs w:val="22"/>
                <w:lang w:val="zh-CN" w:eastAsia="zh-CN" w:bidi="zh-CN"/>
              </w:rPr>
              <w:t>。</w:t>
            </w:r>
          </w:p>
        </w:tc>
      </w:tr>
      <w:tr w14:paraId="7F1F9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28" w:type="pct"/>
            <w:noWrap w:val="0"/>
            <w:vAlign w:val="center"/>
          </w:tcPr>
          <w:p w14:paraId="317EE07D">
            <w:pPr>
              <w:widowControl w:val="0"/>
              <w:autoSpaceDE w:val="0"/>
              <w:autoSpaceDN w:val="0"/>
              <w:ind w:left="12"/>
              <w:jc w:val="center"/>
              <w:rPr>
                <w:rFonts w:hint="eastAsia" w:ascii="Times New Roman" w:hAnsi="宋体" w:eastAsia="宋体" w:cs="Times New Roman"/>
                <w:kern w:val="0"/>
                <w:sz w:val="22"/>
                <w:szCs w:val="22"/>
                <w:lang w:val="en-US" w:eastAsia="zh-CN" w:bidi="zh-CN"/>
              </w:rPr>
            </w:pPr>
            <w:r>
              <w:rPr>
                <w:rFonts w:hint="eastAsia" w:ascii="Times New Roman" w:hAnsi="宋体" w:eastAsia="宋体" w:cs="Times New Roman"/>
                <w:kern w:val="0"/>
                <w:sz w:val="22"/>
                <w:szCs w:val="22"/>
                <w:lang w:val="en-US" w:eastAsia="zh-CN" w:bidi="zh-CN"/>
              </w:rPr>
              <w:t>15</w:t>
            </w:r>
            <w:r>
              <w:rPr>
                <w:rFonts w:ascii="Times New Roman" w:hAnsi="宋体" w:eastAsia="宋体" w:cs="Times New Roman"/>
                <w:kern w:val="0"/>
                <w:sz w:val="22"/>
                <w:szCs w:val="22"/>
                <w:lang w:val="en-US" w:eastAsia="zh-CN" w:bidi="zh-CN"/>
              </w:rPr>
              <w:t>.4</w:t>
            </w:r>
          </w:p>
        </w:tc>
        <w:tc>
          <w:tcPr>
            <w:tcW w:w="4471" w:type="pct"/>
            <w:noWrap w:val="0"/>
            <w:vAlign w:val="center"/>
          </w:tcPr>
          <w:p w14:paraId="3F74A309">
            <w:pPr>
              <w:widowControl w:val="0"/>
              <w:autoSpaceDE w:val="0"/>
              <w:autoSpaceDN w:val="0"/>
              <w:spacing w:before="1"/>
              <w:ind w:left="107" w:right="92"/>
              <w:jc w:val="both"/>
              <w:rPr>
                <w:rFonts w:hint="eastAsia" w:ascii="宋体" w:hAnsi="宋体" w:eastAsia="宋体" w:cs="宋体"/>
                <w:kern w:val="0"/>
                <w:sz w:val="22"/>
                <w:szCs w:val="22"/>
                <w:lang w:val="zh-CN" w:eastAsia="zh-CN" w:bidi="zh-CN"/>
              </w:rPr>
            </w:pPr>
            <w:r>
              <w:rPr>
                <w:rFonts w:hint="eastAsia" w:ascii="宋体" w:hAnsi="宋体" w:eastAsia="宋体" w:cs="宋体"/>
                <w:kern w:val="0"/>
                <w:sz w:val="22"/>
                <w:szCs w:val="22"/>
                <w:lang w:val="zh-CN" w:eastAsia="zh-CN" w:bidi="zh-CN"/>
              </w:rPr>
              <w:t>投标时提供</w:t>
            </w:r>
            <w:r>
              <w:rPr>
                <w:rFonts w:hint="eastAsia" w:ascii="新宋体" w:hAnsi="新宋体" w:eastAsia="新宋体" w:cs="新宋体"/>
                <w:kern w:val="0"/>
                <w:sz w:val="22"/>
                <w:szCs w:val="22"/>
                <w:lang w:val="zh-CN" w:eastAsia="zh-CN" w:bidi="zh-CN"/>
              </w:rPr>
              <w:t>女性内分泌激素评估项目的报告单解读模板。</w:t>
            </w:r>
          </w:p>
        </w:tc>
      </w:tr>
    </w:tbl>
    <w:p w14:paraId="4B66DBFA">
      <w:pPr>
        <w:spacing w:before="180" w:line="219" w:lineRule="auto"/>
        <w:outlineLvl w:val="1"/>
        <w:rPr>
          <w:rFonts w:ascii="新宋体" w:hAnsi="新宋体" w:eastAsia="新宋体" w:cs="新宋体"/>
          <w:b/>
          <w:bCs/>
          <w:spacing w:val="-4"/>
          <w:kern w:val="0"/>
          <w:sz w:val="22"/>
          <w:szCs w:val="22"/>
        </w:rPr>
      </w:pPr>
      <w:r>
        <w:rPr>
          <w:rFonts w:hint="eastAsia" w:ascii="新宋体" w:hAnsi="新宋体" w:eastAsia="新宋体" w:cs="新宋体"/>
          <w:b/>
          <w:bCs/>
          <w:spacing w:val="-2"/>
          <w:kern w:val="0"/>
          <w:sz w:val="22"/>
          <w:szCs w:val="22"/>
          <w:lang w:eastAsia="zh-CN"/>
        </w:rPr>
        <w:br w:type="textWrapping"/>
      </w:r>
      <w:r>
        <w:rPr>
          <w:rFonts w:hint="eastAsia" w:ascii="新宋体" w:hAnsi="新宋体" w:eastAsia="新宋体" w:cs="新宋体"/>
          <w:b/>
          <w:bCs/>
          <w:spacing w:val="-2"/>
          <w:kern w:val="0"/>
          <w:sz w:val="22"/>
          <w:szCs w:val="22"/>
          <w:lang w:eastAsia="zh-CN"/>
        </w:rPr>
        <w:t>（</w:t>
      </w:r>
      <w:r>
        <w:rPr>
          <w:rFonts w:hint="eastAsia" w:ascii="新宋体" w:hAnsi="新宋体" w:eastAsia="新宋体" w:cs="新宋体"/>
          <w:b/>
          <w:bCs/>
          <w:spacing w:val="-2"/>
          <w:kern w:val="0"/>
          <w:sz w:val="22"/>
          <w:szCs w:val="22"/>
          <w:lang w:val="en-US" w:eastAsia="zh-CN"/>
        </w:rPr>
        <w:t>三</w:t>
      </w:r>
      <w:r>
        <w:rPr>
          <w:rFonts w:hint="eastAsia" w:ascii="新宋体" w:hAnsi="新宋体" w:eastAsia="新宋体" w:cs="新宋体"/>
          <w:b/>
          <w:bCs/>
          <w:spacing w:val="-2"/>
          <w:kern w:val="0"/>
          <w:sz w:val="22"/>
          <w:szCs w:val="22"/>
          <w:lang w:eastAsia="zh-CN"/>
        </w:rPr>
        <w:t>）</w:t>
      </w:r>
      <w:r>
        <w:rPr>
          <w:rFonts w:ascii="新宋体" w:hAnsi="新宋体" w:eastAsia="新宋体" w:cs="新宋体"/>
          <w:b/>
          <w:bCs/>
          <w:spacing w:val="-4"/>
          <w:kern w:val="0"/>
          <w:sz w:val="22"/>
          <w:szCs w:val="22"/>
        </w:rPr>
        <w:t>委托外送检验项目常用清单</w:t>
      </w:r>
    </w:p>
    <w:p w14:paraId="26289982">
      <w:pPr>
        <w:spacing w:line="18" w:lineRule="exact"/>
        <w:rPr>
          <w:rFonts w:ascii="Times New Roman" w:hAnsi="Times New Roman" w:eastAsia="宋体" w:cs="Times New Roman"/>
          <w:kern w:val="0"/>
          <w:sz w:val="20"/>
          <w:szCs w:val="20"/>
        </w:rPr>
      </w:pPr>
    </w:p>
    <w:tbl>
      <w:tblPr>
        <w:tblStyle w:val="53"/>
        <w:tblW w:w="5222" w:type="pct"/>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7"/>
        <w:gridCol w:w="1757"/>
        <w:gridCol w:w="3064"/>
        <w:gridCol w:w="1059"/>
        <w:gridCol w:w="1197"/>
        <w:gridCol w:w="937"/>
        <w:gridCol w:w="1099"/>
      </w:tblGrid>
      <w:tr w14:paraId="20B2D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noWrap w:val="0"/>
            <w:vAlign w:val="center"/>
          </w:tcPr>
          <w:p w14:paraId="2D2805BF">
            <w:pPr>
              <w:pStyle w:val="98"/>
              <w:autoSpaceDE w:val="0"/>
              <w:autoSpaceDN w:val="0"/>
              <w:spacing w:before="53" w:line="214" w:lineRule="auto"/>
              <w:ind w:left="65"/>
              <w:jc w:val="center"/>
              <w:rPr>
                <w:b/>
                <w:bCs/>
                <w:kern w:val="0"/>
              </w:rPr>
            </w:pPr>
            <w:r>
              <w:rPr>
                <w:b/>
                <w:bCs/>
                <w:spacing w:val="-2"/>
                <w:kern w:val="0"/>
              </w:rPr>
              <w:t>序号</w:t>
            </w:r>
          </w:p>
        </w:tc>
        <w:tc>
          <w:tcPr>
            <w:tcW w:w="892" w:type="pct"/>
            <w:noWrap w:val="0"/>
            <w:vAlign w:val="center"/>
          </w:tcPr>
          <w:p w14:paraId="09D21B94">
            <w:pPr>
              <w:pStyle w:val="98"/>
              <w:autoSpaceDE w:val="0"/>
              <w:autoSpaceDN w:val="0"/>
              <w:spacing w:before="53" w:line="214" w:lineRule="auto"/>
              <w:ind w:left="71"/>
              <w:jc w:val="center"/>
              <w:rPr>
                <w:b/>
                <w:bCs/>
                <w:kern w:val="0"/>
              </w:rPr>
            </w:pPr>
            <w:r>
              <w:rPr>
                <w:b/>
                <w:bCs/>
                <w:spacing w:val="2"/>
                <w:kern w:val="0"/>
              </w:rPr>
              <w:t>项目名称</w:t>
            </w:r>
          </w:p>
        </w:tc>
        <w:tc>
          <w:tcPr>
            <w:tcW w:w="1556" w:type="pct"/>
            <w:noWrap w:val="0"/>
            <w:vAlign w:val="center"/>
          </w:tcPr>
          <w:p w14:paraId="11DAF63C">
            <w:pPr>
              <w:pStyle w:val="98"/>
              <w:autoSpaceDE w:val="0"/>
              <w:autoSpaceDN w:val="0"/>
              <w:spacing w:before="53" w:line="214" w:lineRule="auto"/>
              <w:ind w:left="73"/>
              <w:jc w:val="center"/>
              <w:rPr>
                <w:b/>
                <w:bCs/>
                <w:kern w:val="0"/>
              </w:rPr>
            </w:pPr>
            <w:r>
              <w:rPr>
                <w:b/>
                <w:bCs/>
                <w:spacing w:val="2"/>
                <w:kern w:val="0"/>
              </w:rPr>
              <w:t>具体细项</w:t>
            </w:r>
          </w:p>
        </w:tc>
        <w:tc>
          <w:tcPr>
            <w:tcW w:w="538" w:type="pct"/>
            <w:noWrap w:val="0"/>
            <w:vAlign w:val="center"/>
          </w:tcPr>
          <w:p w14:paraId="7EAB4CD6">
            <w:pPr>
              <w:pStyle w:val="98"/>
              <w:autoSpaceDE w:val="0"/>
              <w:autoSpaceDN w:val="0"/>
              <w:spacing w:before="51" w:line="216" w:lineRule="auto"/>
              <w:ind w:left="85"/>
              <w:jc w:val="center"/>
              <w:rPr>
                <w:b/>
                <w:bCs/>
                <w:kern w:val="0"/>
              </w:rPr>
            </w:pPr>
            <w:r>
              <w:rPr>
                <w:b/>
                <w:bCs/>
                <w:spacing w:val="1"/>
                <w:kern w:val="0"/>
              </w:rPr>
              <w:t>医院收费价格/元</w:t>
            </w:r>
          </w:p>
        </w:tc>
        <w:tc>
          <w:tcPr>
            <w:tcW w:w="608" w:type="pct"/>
            <w:noWrap w:val="0"/>
            <w:vAlign w:val="center"/>
          </w:tcPr>
          <w:p w14:paraId="05561EE1">
            <w:pPr>
              <w:pStyle w:val="98"/>
              <w:autoSpaceDE w:val="0"/>
              <w:autoSpaceDN w:val="0"/>
              <w:spacing w:before="51" w:line="216" w:lineRule="auto"/>
              <w:ind w:left="97"/>
              <w:jc w:val="center"/>
              <w:rPr>
                <w:b/>
                <w:bCs/>
                <w:spacing w:val="4"/>
                <w:kern w:val="0"/>
              </w:rPr>
            </w:pPr>
            <w:r>
              <w:rPr>
                <w:rFonts w:hint="eastAsia"/>
                <w:b/>
                <w:bCs/>
                <w:kern w:val="0"/>
                <w:szCs w:val="21"/>
              </w:rPr>
              <w:t>检测方法</w:t>
            </w:r>
          </w:p>
        </w:tc>
        <w:tc>
          <w:tcPr>
            <w:tcW w:w="476" w:type="pct"/>
            <w:noWrap w:val="0"/>
            <w:vAlign w:val="center"/>
          </w:tcPr>
          <w:p w14:paraId="336C61F1">
            <w:pPr>
              <w:pStyle w:val="98"/>
              <w:autoSpaceDE w:val="0"/>
              <w:autoSpaceDN w:val="0"/>
              <w:spacing w:before="51" w:line="216" w:lineRule="auto"/>
              <w:ind w:left="97"/>
              <w:jc w:val="center"/>
              <w:rPr>
                <w:b/>
                <w:bCs/>
                <w:kern w:val="0"/>
              </w:rPr>
            </w:pPr>
            <w:r>
              <w:rPr>
                <w:b/>
                <w:bCs/>
                <w:spacing w:val="4"/>
                <w:kern w:val="0"/>
              </w:rPr>
              <w:t>出具报告时间(天)</w:t>
            </w:r>
          </w:p>
        </w:tc>
        <w:tc>
          <w:tcPr>
            <w:tcW w:w="558" w:type="pct"/>
            <w:noWrap w:val="0"/>
            <w:vAlign w:val="center"/>
          </w:tcPr>
          <w:p w14:paraId="014535E9">
            <w:pPr>
              <w:pStyle w:val="98"/>
              <w:autoSpaceDE w:val="0"/>
              <w:autoSpaceDN w:val="0"/>
              <w:spacing w:before="51" w:line="216" w:lineRule="auto"/>
              <w:ind w:left="97"/>
              <w:jc w:val="center"/>
              <w:rPr>
                <w:rFonts w:hint="default" w:eastAsia="宋体"/>
                <w:b/>
                <w:bCs/>
                <w:spacing w:val="4"/>
                <w:kern w:val="0"/>
                <w:lang w:val="en-US" w:eastAsia="zh-CN"/>
              </w:rPr>
            </w:pPr>
            <w:r>
              <w:rPr>
                <w:rFonts w:hint="eastAsia"/>
                <w:b/>
                <w:bCs/>
                <w:spacing w:val="4"/>
                <w:kern w:val="0"/>
                <w:lang w:val="en-US" w:eastAsia="zh-CN"/>
              </w:rPr>
              <w:t>年预估测试数</w:t>
            </w:r>
          </w:p>
        </w:tc>
      </w:tr>
      <w:tr w14:paraId="770F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tcBorders>
              <w:top w:val="single" w:color="000000" w:sz="4" w:space="0"/>
              <w:bottom w:val="single" w:color="000000" w:sz="4" w:space="0"/>
            </w:tcBorders>
            <w:noWrap w:val="0"/>
            <w:vAlign w:val="center"/>
          </w:tcPr>
          <w:p w14:paraId="46E2DB89">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1</w:t>
            </w:r>
          </w:p>
        </w:tc>
        <w:tc>
          <w:tcPr>
            <w:tcW w:w="892" w:type="pct"/>
            <w:tcBorders>
              <w:top w:val="single" w:color="000000" w:sz="4" w:space="0"/>
              <w:bottom w:val="single" w:color="000000" w:sz="4" w:space="0"/>
            </w:tcBorders>
            <w:noWrap w:val="0"/>
            <w:vAlign w:val="center"/>
          </w:tcPr>
          <w:p w14:paraId="43656472">
            <w:pPr>
              <w:keepNext w:val="0"/>
              <w:keepLines w:val="0"/>
              <w:widowControl/>
              <w:suppressLineNumbers w:val="0"/>
              <w:autoSpaceDE w:val="0"/>
              <w:autoSpaceDN w:val="0"/>
              <w:jc w:val="center"/>
              <w:textAlignment w:val="center"/>
              <w:rPr>
                <w:rFonts w:hint="eastAsia" w:ascii="Times New Roman" w:hAnsi="Times New Roman" w:eastAsia="宋体" w:cs="Times New Roman"/>
                <w:kern w:val="0"/>
                <w:sz w:val="21"/>
                <w:szCs w:val="20"/>
                <w:lang w:val="en-US" w:eastAsia="zh-CN"/>
              </w:rPr>
            </w:pPr>
            <w:r>
              <w:rPr>
                <w:rFonts w:hint="eastAsia" w:ascii="宋体" w:hAnsi="宋体" w:eastAsia="宋体" w:cs="宋体"/>
                <w:i w:val="0"/>
                <w:iCs w:val="0"/>
                <w:color w:val="000000"/>
                <w:kern w:val="0"/>
                <w:sz w:val="22"/>
                <w:szCs w:val="22"/>
                <w:u w:val="none"/>
                <w:lang w:val="en-US" w:eastAsia="zh-CN" w:bidi="ar"/>
              </w:rPr>
              <w:t>维生素5项</w:t>
            </w:r>
          </w:p>
        </w:tc>
        <w:tc>
          <w:tcPr>
            <w:tcW w:w="1556" w:type="pct"/>
            <w:tcBorders>
              <w:top w:val="single" w:color="000000" w:sz="4" w:space="0"/>
              <w:bottom w:val="single" w:color="000000" w:sz="4" w:space="0"/>
            </w:tcBorders>
            <w:noWrap w:val="0"/>
            <w:vAlign w:val="center"/>
          </w:tcPr>
          <w:p w14:paraId="42035362">
            <w:pPr>
              <w:pStyle w:val="98"/>
              <w:autoSpaceDE w:val="0"/>
              <w:autoSpaceDN w:val="0"/>
              <w:spacing w:before="94" w:line="160" w:lineRule="auto"/>
              <w:ind w:left="73" w:leftChars="0"/>
              <w:jc w:val="left"/>
              <w:rPr>
                <w:spacing w:val="-2"/>
                <w:kern w:val="0"/>
              </w:rPr>
            </w:pPr>
            <w:r>
              <w:rPr>
                <w:rFonts w:hint="eastAsia" w:ascii="宋体" w:hAnsi="宋体" w:eastAsia="宋体" w:cs="宋体"/>
                <w:color w:val="auto"/>
                <w:kern w:val="0"/>
                <w:sz w:val="22"/>
                <w:szCs w:val="22"/>
                <w:highlight w:val="none"/>
              </w:rPr>
              <w:t>维生素A、D、D2、D3、E、K</w:t>
            </w:r>
          </w:p>
        </w:tc>
        <w:tc>
          <w:tcPr>
            <w:tcW w:w="538" w:type="pct"/>
            <w:vMerge w:val="restart"/>
            <w:tcBorders>
              <w:top w:val="single" w:color="000000" w:sz="4" w:space="0"/>
            </w:tcBorders>
            <w:noWrap w:val="0"/>
            <w:vAlign w:val="center"/>
          </w:tcPr>
          <w:p w14:paraId="1E85E65C">
            <w:pPr>
              <w:pStyle w:val="98"/>
              <w:autoSpaceDE w:val="0"/>
              <w:autoSpaceDN w:val="0"/>
              <w:spacing w:before="62" w:line="241" w:lineRule="auto"/>
              <w:ind w:left="65"/>
              <w:jc w:val="center"/>
              <w:rPr>
                <w:rFonts w:hint="eastAsia"/>
                <w:kern w:val="0"/>
                <w:lang w:val="en-US" w:eastAsia="zh-CN"/>
              </w:rPr>
            </w:pPr>
            <w:r>
              <w:rPr>
                <w:rFonts w:hint="eastAsia" w:ascii="宋体" w:hAnsi="宋体" w:eastAsia="宋体" w:cs="宋体"/>
                <w:color w:val="auto"/>
                <w:kern w:val="0"/>
                <w:sz w:val="22"/>
                <w:szCs w:val="22"/>
                <w:highlight w:val="none"/>
                <w:lang w:val="en-US" w:eastAsia="zh-CN"/>
              </w:rPr>
              <w:t>参考</w:t>
            </w:r>
            <w:r>
              <w:rPr>
                <w:rFonts w:hint="eastAsia" w:ascii="宋体" w:hAnsi="宋体" w:eastAsia="宋体" w:cs="宋体"/>
                <w:color w:val="auto"/>
                <w:kern w:val="0"/>
                <w:sz w:val="22"/>
                <w:szCs w:val="22"/>
                <w:highlight w:val="none"/>
              </w:rPr>
              <w:t>温州市公立医院医疗服务收费价格标准</w:t>
            </w:r>
          </w:p>
        </w:tc>
        <w:tc>
          <w:tcPr>
            <w:tcW w:w="608" w:type="pct"/>
            <w:tcBorders>
              <w:top w:val="single" w:color="000000" w:sz="4" w:space="0"/>
              <w:bottom w:val="single" w:color="000000" w:sz="4" w:space="0"/>
            </w:tcBorders>
            <w:noWrap w:val="0"/>
            <w:vAlign w:val="center"/>
          </w:tcPr>
          <w:p w14:paraId="6BA1F8FC">
            <w:pPr>
              <w:pStyle w:val="98"/>
              <w:autoSpaceDE w:val="0"/>
              <w:autoSpaceDN w:val="0"/>
              <w:spacing w:before="62" w:line="219" w:lineRule="auto"/>
              <w:ind w:left="97"/>
              <w:jc w:val="center"/>
              <w:rPr>
                <w:rFonts w:hint="eastAsia"/>
                <w:spacing w:val="7"/>
                <w:kern w:val="0"/>
                <w:lang w:val="en-US" w:eastAsia="zh-CN"/>
              </w:rPr>
            </w:pPr>
            <w:r>
              <w:rPr>
                <w:rFonts w:hint="eastAsia" w:cs="宋体"/>
                <w:kern w:val="0"/>
                <w:szCs w:val="21"/>
              </w:rPr>
              <w:t>质谱法</w:t>
            </w:r>
          </w:p>
        </w:tc>
        <w:tc>
          <w:tcPr>
            <w:tcW w:w="476" w:type="pct"/>
            <w:tcBorders>
              <w:top w:val="single" w:color="000000" w:sz="4" w:space="0"/>
              <w:bottom w:val="single" w:color="000000" w:sz="4" w:space="0"/>
            </w:tcBorders>
            <w:noWrap w:val="0"/>
            <w:vAlign w:val="center"/>
          </w:tcPr>
          <w:p w14:paraId="65F723CA">
            <w:pPr>
              <w:pStyle w:val="98"/>
              <w:autoSpaceDE w:val="0"/>
              <w:autoSpaceDN w:val="0"/>
              <w:spacing w:before="62" w:line="219" w:lineRule="auto"/>
              <w:ind w:left="97"/>
              <w:jc w:val="center"/>
              <w:rPr>
                <w:rFonts w:hint="default"/>
                <w:spacing w:val="7"/>
                <w:kern w:val="0"/>
                <w:lang w:val="en-US" w:eastAsia="zh-CN"/>
              </w:rPr>
            </w:pPr>
            <w:r>
              <w:rPr>
                <w:rFonts w:hint="eastAsia"/>
                <w:spacing w:val="7"/>
                <w:kern w:val="0"/>
                <w:lang w:val="en-US" w:eastAsia="zh-CN"/>
              </w:rPr>
              <w:t>3</w:t>
            </w:r>
          </w:p>
        </w:tc>
        <w:tc>
          <w:tcPr>
            <w:tcW w:w="558" w:type="pct"/>
            <w:tcBorders>
              <w:top w:val="single" w:color="000000" w:sz="4" w:space="0"/>
              <w:bottom w:val="single" w:color="000000" w:sz="4" w:space="0"/>
            </w:tcBorders>
            <w:noWrap w:val="0"/>
            <w:vAlign w:val="center"/>
          </w:tcPr>
          <w:p w14:paraId="67643627">
            <w:pPr>
              <w:keepNext w:val="0"/>
              <w:keepLines w:val="0"/>
              <w:widowControl/>
              <w:suppressLineNumbers w:val="0"/>
              <w:autoSpaceDE w:val="0"/>
              <w:autoSpaceDN w:val="0"/>
              <w:jc w:val="center"/>
              <w:textAlignment w:val="center"/>
              <w:rPr>
                <w:rFonts w:hint="eastAsia" w:ascii="Times New Roman" w:hAnsi="Times New Roman" w:eastAsia="宋体" w:cs="Times New Roman"/>
                <w:spacing w:val="7"/>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1700</w:t>
            </w:r>
          </w:p>
        </w:tc>
      </w:tr>
      <w:tr w14:paraId="593ED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tcBorders>
              <w:top w:val="single" w:color="000000" w:sz="4" w:space="0"/>
              <w:bottom w:val="single" w:color="000000" w:sz="4" w:space="0"/>
            </w:tcBorders>
            <w:noWrap w:val="0"/>
            <w:vAlign w:val="center"/>
          </w:tcPr>
          <w:p w14:paraId="6D7E271B">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2</w:t>
            </w:r>
          </w:p>
        </w:tc>
        <w:tc>
          <w:tcPr>
            <w:tcW w:w="892" w:type="pct"/>
            <w:tcBorders>
              <w:top w:val="single" w:color="000000" w:sz="4" w:space="0"/>
              <w:bottom w:val="single" w:color="000000" w:sz="4" w:space="0"/>
            </w:tcBorders>
            <w:noWrap w:val="0"/>
            <w:vAlign w:val="center"/>
          </w:tcPr>
          <w:p w14:paraId="29D4EE2C">
            <w:pPr>
              <w:keepNext w:val="0"/>
              <w:keepLines w:val="0"/>
              <w:widowControl/>
              <w:suppressLineNumbers w:val="0"/>
              <w:autoSpaceDE w:val="0"/>
              <w:autoSpaceDN w:val="0"/>
              <w:jc w:val="center"/>
              <w:textAlignment w:val="center"/>
              <w:rPr>
                <w:rFonts w:hint="eastAsia" w:ascii="Times New Roman" w:hAnsi="Times New Roman" w:eastAsia="宋体" w:cs="Times New Roman"/>
                <w:kern w:val="0"/>
                <w:sz w:val="21"/>
                <w:szCs w:val="20"/>
                <w:lang w:val="en-US" w:eastAsia="zh-CN"/>
              </w:rPr>
            </w:pPr>
            <w:r>
              <w:rPr>
                <w:rFonts w:hint="eastAsia" w:ascii="宋体" w:hAnsi="宋体" w:eastAsia="宋体" w:cs="宋体"/>
                <w:i w:val="0"/>
                <w:iCs w:val="0"/>
                <w:color w:val="000000"/>
                <w:kern w:val="0"/>
                <w:sz w:val="22"/>
                <w:szCs w:val="22"/>
                <w:u w:val="none"/>
                <w:lang w:val="en-US" w:eastAsia="zh-CN" w:bidi="ar"/>
              </w:rPr>
              <w:t>维生素9项</w:t>
            </w:r>
          </w:p>
        </w:tc>
        <w:tc>
          <w:tcPr>
            <w:tcW w:w="1556" w:type="pct"/>
            <w:tcBorders>
              <w:top w:val="single" w:color="000000" w:sz="4" w:space="0"/>
              <w:bottom w:val="single" w:color="000000" w:sz="4" w:space="0"/>
            </w:tcBorders>
            <w:noWrap w:val="0"/>
            <w:vAlign w:val="center"/>
          </w:tcPr>
          <w:p w14:paraId="0622A3A7">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维生素 A、D、D2、D3、E、K、B1、B2、B9</w:t>
            </w:r>
          </w:p>
        </w:tc>
        <w:tc>
          <w:tcPr>
            <w:tcW w:w="538" w:type="pct"/>
            <w:vMerge w:val="continue"/>
            <w:noWrap w:val="0"/>
            <w:vAlign w:val="center"/>
          </w:tcPr>
          <w:p w14:paraId="55F205B8">
            <w:pPr>
              <w:keepNext w:val="0"/>
              <w:keepLines w:val="0"/>
              <w:widowControl/>
              <w:suppressLineNumbers w:val="0"/>
              <w:autoSpaceDE w:val="0"/>
              <w:autoSpaceDN w:val="0"/>
              <w:jc w:val="center"/>
              <w:textAlignment w:val="center"/>
              <w:rPr>
                <w:rFonts w:hint="eastAsia" w:ascii="Times New Roman" w:hAnsi="Times New Roman" w:eastAsia="宋体" w:cs="Times New Roman"/>
                <w:spacing w:val="-3"/>
                <w:kern w:val="0"/>
                <w:sz w:val="20"/>
                <w:szCs w:val="20"/>
                <w:lang w:val="en-US" w:eastAsia="zh-CN"/>
              </w:rPr>
            </w:pPr>
          </w:p>
        </w:tc>
        <w:tc>
          <w:tcPr>
            <w:tcW w:w="608" w:type="pct"/>
            <w:tcBorders>
              <w:top w:val="single" w:color="000000" w:sz="4" w:space="0"/>
              <w:bottom w:val="single" w:color="000000" w:sz="4" w:space="0"/>
            </w:tcBorders>
            <w:noWrap w:val="0"/>
            <w:vAlign w:val="center"/>
          </w:tcPr>
          <w:p w14:paraId="38506D73">
            <w:pPr>
              <w:pStyle w:val="98"/>
              <w:autoSpaceDE w:val="0"/>
              <w:autoSpaceDN w:val="0"/>
              <w:spacing w:before="62" w:line="219" w:lineRule="auto"/>
              <w:ind w:left="97" w:leftChars="0"/>
              <w:jc w:val="center"/>
              <w:rPr>
                <w:rFonts w:hint="eastAsia"/>
                <w:spacing w:val="7"/>
                <w:kern w:val="0"/>
                <w:lang w:val="en-US" w:eastAsia="zh-CN"/>
              </w:rPr>
            </w:pPr>
            <w:r>
              <w:rPr>
                <w:rFonts w:hint="eastAsia" w:cs="宋体"/>
                <w:kern w:val="0"/>
                <w:szCs w:val="21"/>
              </w:rPr>
              <w:t>质谱法</w:t>
            </w:r>
          </w:p>
        </w:tc>
        <w:tc>
          <w:tcPr>
            <w:tcW w:w="476" w:type="pct"/>
            <w:tcBorders>
              <w:top w:val="single" w:color="000000" w:sz="4" w:space="0"/>
              <w:bottom w:val="single" w:color="000000" w:sz="4" w:space="0"/>
            </w:tcBorders>
            <w:noWrap w:val="0"/>
            <w:vAlign w:val="center"/>
          </w:tcPr>
          <w:p w14:paraId="03164FD5">
            <w:pPr>
              <w:pStyle w:val="98"/>
              <w:autoSpaceDE w:val="0"/>
              <w:autoSpaceDN w:val="0"/>
              <w:spacing w:before="62" w:line="219" w:lineRule="auto"/>
              <w:ind w:left="97" w:leftChars="0"/>
              <w:jc w:val="center"/>
              <w:rPr>
                <w:rFonts w:hint="eastAsia"/>
                <w:spacing w:val="7"/>
                <w:kern w:val="0"/>
                <w:lang w:val="en-US" w:eastAsia="zh-CN"/>
              </w:rPr>
            </w:pPr>
            <w:r>
              <w:rPr>
                <w:rFonts w:hint="eastAsia"/>
                <w:spacing w:val="7"/>
                <w:kern w:val="0"/>
                <w:lang w:val="en-US" w:eastAsia="zh-CN"/>
              </w:rPr>
              <w:t>3</w:t>
            </w:r>
          </w:p>
        </w:tc>
        <w:tc>
          <w:tcPr>
            <w:tcW w:w="558" w:type="pct"/>
            <w:tcBorders>
              <w:top w:val="single" w:color="000000" w:sz="4" w:space="0"/>
              <w:bottom w:val="single" w:color="000000" w:sz="4" w:space="0"/>
            </w:tcBorders>
            <w:noWrap w:val="0"/>
            <w:vAlign w:val="center"/>
          </w:tcPr>
          <w:p w14:paraId="4D670DB1">
            <w:pPr>
              <w:keepNext w:val="0"/>
              <w:keepLines w:val="0"/>
              <w:widowControl/>
              <w:suppressLineNumbers w:val="0"/>
              <w:autoSpaceDE w:val="0"/>
              <w:autoSpaceDN w:val="0"/>
              <w:jc w:val="center"/>
              <w:textAlignment w:val="center"/>
              <w:rPr>
                <w:rFonts w:hint="eastAsia" w:ascii="Times New Roman" w:hAnsi="Times New Roman" w:eastAsia="宋体" w:cs="Times New Roman"/>
                <w:spacing w:val="7"/>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2700</w:t>
            </w:r>
          </w:p>
        </w:tc>
      </w:tr>
      <w:tr w14:paraId="18FC1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tcBorders>
              <w:top w:val="single" w:color="000000" w:sz="4" w:space="0"/>
              <w:bottom w:val="single" w:color="000000" w:sz="4" w:space="0"/>
            </w:tcBorders>
            <w:noWrap w:val="0"/>
            <w:vAlign w:val="center"/>
          </w:tcPr>
          <w:p w14:paraId="04476278">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3</w:t>
            </w:r>
          </w:p>
        </w:tc>
        <w:tc>
          <w:tcPr>
            <w:tcW w:w="892" w:type="pct"/>
            <w:tcBorders>
              <w:top w:val="single" w:color="000000" w:sz="4" w:space="0"/>
              <w:bottom w:val="single" w:color="000000" w:sz="4" w:space="0"/>
            </w:tcBorders>
            <w:noWrap w:val="0"/>
            <w:vAlign w:val="center"/>
          </w:tcPr>
          <w:p w14:paraId="5362FE3B">
            <w:pPr>
              <w:keepNext w:val="0"/>
              <w:keepLines w:val="0"/>
              <w:widowControl/>
              <w:suppressLineNumbers w:val="0"/>
              <w:autoSpaceDE w:val="0"/>
              <w:autoSpaceDN w:val="0"/>
              <w:jc w:val="center"/>
              <w:textAlignment w:val="center"/>
              <w:rPr>
                <w:rFonts w:hint="eastAsia" w:ascii="Times New Roman" w:hAnsi="Times New Roman" w:eastAsia="宋体" w:cs="Times New Roman"/>
                <w:kern w:val="0"/>
                <w:sz w:val="21"/>
                <w:szCs w:val="20"/>
                <w:lang w:val="en-US" w:eastAsia="zh-CN"/>
              </w:rPr>
            </w:pPr>
            <w:r>
              <w:rPr>
                <w:rFonts w:hint="eastAsia" w:ascii="宋体" w:hAnsi="宋体" w:eastAsia="宋体" w:cs="宋体"/>
                <w:i w:val="0"/>
                <w:iCs w:val="0"/>
                <w:color w:val="000000"/>
                <w:kern w:val="0"/>
                <w:sz w:val="22"/>
                <w:szCs w:val="22"/>
                <w:u w:val="none"/>
                <w:lang w:val="en-US" w:eastAsia="zh-CN" w:bidi="ar"/>
              </w:rPr>
              <w:t>微量元素10项</w:t>
            </w:r>
          </w:p>
        </w:tc>
        <w:tc>
          <w:tcPr>
            <w:tcW w:w="1556" w:type="pct"/>
            <w:tcBorders>
              <w:top w:val="single" w:color="000000" w:sz="4" w:space="0"/>
              <w:bottom w:val="single" w:color="000000" w:sz="4" w:space="0"/>
            </w:tcBorders>
            <w:noWrap w:val="0"/>
            <w:vAlign w:val="center"/>
          </w:tcPr>
          <w:p w14:paraId="66EEEDDC">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钙Ca、镁Mg、铁Fe、铜Cu、锌Zn、铬Cr、硒Se、钼Mo、锰Mn、铅Pb</w:t>
            </w:r>
          </w:p>
        </w:tc>
        <w:tc>
          <w:tcPr>
            <w:tcW w:w="538" w:type="pct"/>
            <w:vMerge w:val="continue"/>
            <w:noWrap w:val="0"/>
            <w:vAlign w:val="center"/>
          </w:tcPr>
          <w:p w14:paraId="40030F4B">
            <w:pPr>
              <w:keepNext w:val="0"/>
              <w:keepLines w:val="0"/>
              <w:widowControl/>
              <w:suppressLineNumbers w:val="0"/>
              <w:autoSpaceDE w:val="0"/>
              <w:autoSpaceDN w:val="0"/>
              <w:jc w:val="center"/>
              <w:textAlignment w:val="center"/>
              <w:rPr>
                <w:rFonts w:hint="eastAsia" w:ascii="Times New Roman" w:hAnsi="Times New Roman" w:eastAsia="宋体" w:cs="Times New Roman"/>
                <w:spacing w:val="-3"/>
                <w:kern w:val="0"/>
                <w:sz w:val="20"/>
                <w:szCs w:val="20"/>
                <w:lang w:val="en-US" w:eastAsia="zh-CN"/>
              </w:rPr>
            </w:pPr>
          </w:p>
        </w:tc>
        <w:tc>
          <w:tcPr>
            <w:tcW w:w="608" w:type="pct"/>
            <w:tcBorders>
              <w:top w:val="single" w:color="000000" w:sz="4" w:space="0"/>
              <w:bottom w:val="single" w:color="000000" w:sz="4" w:space="0"/>
            </w:tcBorders>
            <w:noWrap w:val="0"/>
            <w:vAlign w:val="center"/>
          </w:tcPr>
          <w:p w14:paraId="7FA3E81B">
            <w:pPr>
              <w:pStyle w:val="98"/>
              <w:autoSpaceDE w:val="0"/>
              <w:autoSpaceDN w:val="0"/>
              <w:spacing w:before="62" w:line="219" w:lineRule="auto"/>
              <w:ind w:left="97" w:leftChars="0"/>
              <w:jc w:val="center"/>
              <w:rPr>
                <w:rFonts w:hint="eastAsia"/>
                <w:spacing w:val="7"/>
                <w:kern w:val="0"/>
                <w:lang w:val="en-US" w:eastAsia="zh-CN"/>
              </w:rPr>
            </w:pPr>
            <w:r>
              <w:rPr>
                <w:rFonts w:hint="eastAsia" w:cs="宋体"/>
                <w:kern w:val="0"/>
                <w:szCs w:val="21"/>
              </w:rPr>
              <w:t>质谱法</w:t>
            </w:r>
          </w:p>
        </w:tc>
        <w:tc>
          <w:tcPr>
            <w:tcW w:w="476" w:type="pct"/>
            <w:tcBorders>
              <w:top w:val="single" w:color="000000" w:sz="4" w:space="0"/>
              <w:bottom w:val="single" w:color="000000" w:sz="4" w:space="0"/>
            </w:tcBorders>
            <w:noWrap w:val="0"/>
            <w:vAlign w:val="center"/>
          </w:tcPr>
          <w:p w14:paraId="78F47F28">
            <w:pPr>
              <w:pStyle w:val="98"/>
              <w:autoSpaceDE w:val="0"/>
              <w:autoSpaceDN w:val="0"/>
              <w:spacing w:before="62" w:line="219" w:lineRule="auto"/>
              <w:ind w:left="97" w:leftChars="0"/>
              <w:jc w:val="center"/>
              <w:rPr>
                <w:rFonts w:hint="eastAsia"/>
                <w:spacing w:val="7"/>
                <w:kern w:val="0"/>
                <w:lang w:val="en-US" w:eastAsia="zh-CN"/>
              </w:rPr>
            </w:pPr>
            <w:r>
              <w:rPr>
                <w:rFonts w:hint="eastAsia"/>
                <w:spacing w:val="7"/>
                <w:kern w:val="0"/>
                <w:lang w:val="en-US" w:eastAsia="zh-CN"/>
              </w:rPr>
              <w:t>3</w:t>
            </w:r>
          </w:p>
        </w:tc>
        <w:tc>
          <w:tcPr>
            <w:tcW w:w="558" w:type="pct"/>
            <w:tcBorders>
              <w:top w:val="single" w:color="000000" w:sz="4" w:space="0"/>
              <w:bottom w:val="single" w:color="000000" w:sz="4" w:space="0"/>
            </w:tcBorders>
            <w:noWrap w:val="0"/>
            <w:vAlign w:val="center"/>
          </w:tcPr>
          <w:p w14:paraId="6B5DC218">
            <w:pPr>
              <w:keepNext w:val="0"/>
              <w:keepLines w:val="0"/>
              <w:widowControl/>
              <w:suppressLineNumbers w:val="0"/>
              <w:autoSpaceDE w:val="0"/>
              <w:autoSpaceDN w:val="0"/>
              <w:jc w:val="center"/>
              <w:textAlignment w:val="center"/>
              <w:rPr>
                <w:rFonts w:hint="eastAsia" w:ascii="Times New Roman" w:hAnsi="Times New Roman" w:eastAsia="宋体" w:cs="Times New Roman"/>
                <w:spacing w:val="7"/>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1700</w:t>
            </w:r>
          </w:p>
        </w:tc>
      </w:tr>
      <w:tr w14:paraId="16390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tcBorders>
              <w:top w:val="single" w:color="000000" w:sz="4" w:space="0"/>
              <w:bottom w:val="single" w:color="000000" w:sz="4" w:space="0"/>
            </w:tcBorders>
            <w:noWrap w:val="0"/>
            <w:vAlign w:val="center"/>
          </w:tcPr>
          <w:p w14:paraId="1B852382">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4</w:t>
            </w:r>
          </w:p>
        </w:tc>
        <w:tc>
          <w:tcPr>
            <w:tcW w:w="892" w:type="pct"/>
            <w:tcBorders>
              <w:top w:val="single" w:color="000000" w:sz="4" w:space="0"/>
              <w:bottom w:val="single" w:color="000000" w:sz="4" w:space="0"/>
            </w:tcBorders>
            <w:noWrap w:val="0"/>
            <w:vAlign w:val="center"/>
          </w:tcPr>
          <w:p w14:paraId="7EE93E6A">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微量元素19项</w:t>
            </w:r>
          </w:p>
        </w:tc>
        <w:tc>
          <w:tcPr>
            <w:tcW w:w="1556" w:type="pct"/>
            <w:tcBorders>
              <w:top w:val="single" w:color="000000" w:sz="4" w:space="0"/>
              <w:bottom w:val="single" w:color="000000" w:sz="4" w:space="0"/>
            </w:tcBorders>
            <w:noWrap w:val="0"/>
            <w:vAlign w:val="center"/>
          </w:tcPr>
          <w:p w14:paraId="7D467280">
            <w:pPr>
              <w:pStyle w:val="98"/>
              <w:autoSpaceDE w:val="0"/>
              <w:autoSpaceDN w:val="0"/>
              <w:spacing w:before="62" w:line="241" w:lineRule="auto"/>
              <w:ind w:left="65"/>
              <w:jc w:val="left"/>
              <w:rPr>
                <w:rFonts w:hint="eastAsia"/>
                <w:kern w:val="0"/>
                <w:lang w:val="en-US" w:eastAsia="zh-CN"/>
              </w:rPr>
            </w:pPr>
            <w:r>
              <w:rPr>
                <w:rFonts w:hint="eastAsia"/>
                <w:kern w:val="0"/>
                <w:lang w:val="en-US" w:eastAsia="zh-CN"/>
              </w:rPr>
              <w:t>钙 Ca、镁 Mg、铁 Fe、铜 Cu、锌 Zn、铬 Cr、硒 Se、钼 Mo、锰 Mn、锂 Li、锶 Sr、钒 V、钴 Co、砷 As、铅 Pb、镉 Cd、汞 Hg、铊 Tl、铋 Bi</w:t>
            </w:r>
          </w:p>
        </w:tc>
        <w:tc>
          <w:tcPr>
            <w:tcW w:w="538" w:type="pct"/>
            <w:vMerge w:val="continue"/>
            <w:noWrap w:val="0"/>
            <w:vAlign w:val="center"/>
          </w:tcPr>
          <w:p w14:paraId="191EA44E">
            <w:pPr>
              <w:pStyle w:val="98"/>
              <w:autoSpaceDE w:val="0"/>
              <w:autoSpaceDN w:val="0"/>
              <w:spacing w:before="62" w:line="241" w:lineRule="auto"/>
              <w:ind w:left="65"/>
              <w:jc w:val="center"/>
              <w:rPr>
                <w:rFonts w:hint="eastAsia"/>
                <w:kern w:val="0"/>
                <w:lang w:val="en-US" w:eastAsia="zh-CN"/>
              </w:rPr>
            </w:pPr>
          </w:p>
        </w:tc>
        <w:tc>
          <w:tcPr>
            <w:tcW w:w="608" w:type="pct"/>
            <w:tcBorders>
              <w:top w:val="single" w:color="000000" w:sz="4" w:space="0"/>
              <w:bottom w:val="single" w:color="000000" w:sz="4" w:space="0"/>
            </w:tcBorders>
            <w:noWrap w:val="0"/>
            <w:vAlign w:val="center"/>
          </w:tcPr>
          <w:p w14:paraId="066C7F31">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质谱法</w:t>
            </w:r>
          </w:p>
        </w:tc>
        <w:tc>
          <w:tcPr>
            <w:tcW w:w="476" w:type="pct"/>
            <w:tcBorders>
              <w:top w:val="single" w:color="000000" w:sz="4" w:space="0"/>
              <w:bottom w:val="single" w:color="000000" w:sz="4" w:space="0"/>
            </w:tcBorders>
            <w:noWrap w:val="0"/>
            <w:vAlign w:val="center"/>
          </w:tcPr>
          <w:p w14:paraId="0C88466D">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3</w:t>
            </w:r>
          </w:p>
        </w:tc>
        <w:tc>
          <w:tcPr>
            <w:tcW w:w="558" w:type="pct"/>
            <w:tcBorders>
              <w:top w:val="single" w:color="000000" w:sz="4" w:space="0"/>
              <w:bottom w:val="single" w:color="000000" w:sz="4" w:space="0"/>
            </w:tcBorders>
            <w:noWrap w:val="0"/>
            <w:vAlign w:val="center"/>
          </w:tcPr>
          <w:p w14:paraId="7F406386">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200</w:t>
            </w:r>
          </w:p>
        </w:tc>
      </w:tr>
      <w:tr w14:paraId="28EFF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tcBorders>
              <w:top w:val="single" w:color="000000" w:sz="4" w:space="0"/>
              <w:bottom w:val="single" w:color="000000" w:sz="4" w:space="0"/>
            </w:tcBorders>
            <w:noWrap w:val="0"/>
            <w:vAlign w:val="center"/>
          </w:tcPr>
          <w:p w14:paraId="6036AA5D">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5</w:t>
            </w:r>
          </w:p>
        </w:tc>
        <w:tc>
          <w:tcPr>
            <w:tcW w:w="892" w:type="pct"/>
            <w:tcBorders>
              <w:top w:val="single" w:color="000000" w:sz="4" w:space="0"/>
              <w:bottom w:val="single" w:color="000000" w:sz="4" w:space="0"/>
            </w:tcBorders>
            <w:noWrap w:val="0"/>
            <w:vAlign w:val="center"/>
          </w:tcPr>
          <w:p w14:paraId="4B17A84B">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神经酰胺7项</w:t>
            </w:r>
          </w:p>
        </w:tc>
        <w:tc>
          <w:tcPr>
            <w:tcW w:w="1556" w:type="pct"/>
            <w:tcBorders>
              <w:top w:val="single" w:color="000000" w:sz="4" w:space="0"/>
              <w:bottom w:val="single" w:color="000000" w:sz="4" w:space="0"/>
            </w:tcBorders>
            <w:noWrap w:val="0"/>
            <w:vAlign w:val="center"/>
          </w:tcPr>
          <w:p w14:paraId="6205072F">
            <w:pPr>
              <w:pStyle w:val="98"/>
              <w:autoSpaceDE w:val="0"/>
              <w:autoSpaceDN w:val="0"/>
              <w:spacing w:before="62" w:line="241" w:lineRule="auto"/>
              <w:ind w:left="65"/>
              <w:jc w:val="left"/>
              <w:rPr>
                <w:rFonts w:hint="eastAsia"/>
                <w:kern w:val="0"/>
                <w:lang w:val="en-US" w:eastAsia="zh-CN"/>
              </w:rPr>
            </w:pPr>
            <w:r>
              <w:rPr>
                <w:rFonts w:hint="eastAsia"/>
                <w:kern w:val="0"/>
                <w:lang w:val="en-US" w:eastAsia="zh-CN"/>
              </w:rPr>
              <w:t>Ceramide C15;   Ceramide C18;   Ceramide C24;  Ceramide C24:1;   CeramideC15/C24;</w:t>
            </w:r>
          </w:p>
          <w:p w14:paraId="0944D37F">
            <w:pPr>
              <w:pStyle w:val="98"/>
              <w:autoSpaceDE w:val="0"/>
              <w:autoSpaceDN w:val="0"/>
              <w:spacing w:before="62" w:line="241" w:lineRule="auto"/>
              <w:ind w:left="65"/>
              <w:jc w:val="left"/>
              <w:rPr>
                <w:rFonts w:hint="eastAsia"/>
                <w:kern w:val="0"/>
                <w:lang w:val="en-US" w:eastAsia="zh-CN"/>
              </w:rPr>
            </w:pPr>
            <w:r>
              <w:rPr>
                <w:rFonts w:hint="eastAsia"/>
                <w:kern w:val="0"/>
                <w:lang w:val="en-US" w:eastAsia="zh-CN"/>
              </w:rPr>
              <w:t>Ceramide C18/C24;   Ceramide C24:1/C24；</w:t>
            </w:r>
          </w:p>
        </w:tc>
        <w:tc>
          <w:tcPr>
            <w:tcW w:w="538" w:type="pct"/>
            <w:vMerge w:val="continue"/>
            <w:noWrap w:val="0"/>
            <w:vAlign w:val="center"/>
          </w:tcPr>
          <w:p w14:paraId="695BF402">
            <w:pPr>
              <w:pStyle w:val="98"/>
              <w:autoSpaceDE w:val="0"/>
              <w:autoSpaceDN w:val="0"/>
              <w:spacing w:before="62" w:line="241" w:lineRule="auto"/>
              <w:ind w:left="65"/>
              <w:jc w:val="center"/>
              <w:rPr>
                <w:rFonts w:hint="eastAsia"/>
                <w:kern w:val="0"/>
                <w:lang w:val="en-US" w:eastAsia="zh-CN"/>
              </w:rPr>
            </w:pPr>
          </w:p>
        </w:tc>
        <w:tc>
          <w:tcPr>
            <w:tcW w:w="608" w:type="pct"/>
            <w:tcBorders>
              <w:top w:val="single" w:color="000000" w:sz="4" w:space="0"/>
              <w:bottom w:val="single" w:color="000000" w:sz="4" w:space="0"/>
            </w:tcBorders>
            <w:noWrap w:val="0"/>
            <w:vAlign w:val="center"/>
          </w:tcPr>
          <w:p w14:paraId="3ED7CDF9">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质谱法</w:t>
            </w:r>
          </w:p>
        </w:tc>
        <w:tc>
          <w:tcPr>
            <w:tcW w:w="476" w:type="pct"/>
            <w:tcBorders>
              <w:top w:val="single" w:color="000000" w:sz="4" w:space="0"/>
              <w:bottom w:val="single" w:color="000000" w:sz="4" w:space="0"/>
            </w:tcBorders>
            <w:noWrap w:val="0"/>
            <w:vAlign w:val="center"/>
          </w:tcPr>
          <w:p w14:paraId="36E4C42F">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3</w:t>
            </w:r>
          </w:p>
        </w:tc>
        <w:tc>
          <w:tcPr>
            <w:tcW w:w="558" w:type="pct"/>
            <w:tcBorders>
              <w:top w:val="single" w:color="000000" w:sz="4" w:space="0"/>
              <w:bottom w:val="single" w:color="000000" w:sz="4" w:space="0"/>
            </w:tcBorders>
            <w:noWrap w:val="0"/>
            <w:vAlign w:val="center"/>
          </w:tcPr>
          <w:p w14:paraId="7C592ACC">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1100</w:t>
            </w:r>
          </w:p>
        </w:tc>
      </w:tr>
      <w:tr w14:paraId="7E1A6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tcBorders>
              <w:top w:val="single" w:color="000000" w:sz="4" w:space="0"/>
              <w:bottom w:val="single" w:color="000000" w:sz="4" w:space="0"/>
            </w:tcBorders>
            <w:noWrap w:val="0"/>
            <w:vAlign w:val="center"/>
          </w:tcPr>
          <w:p w14:paraId="5C5A0C5A">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5</w:t>
            </w:r>
          </w:p>
        </w:tc>
        <w:tc>
          <w:tcPr>
            <w:tcW w:w="892" w:type="pct"/>
            <w:tcBorders>
              <w:top w:val="single" w:color="000000" w:sz="4" w:space="0"/>
              <w:bottom w:val="single" w:color="000000" w:sz="4" w:space="0"/>
            </w:tcBorders>
            <w:noWrap w:val="0"/>
            <w:vAlign w:val="center"/>
          </w:tcPr>
          <w:p w14:paraId="4DAE9037">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全谱氨基酸200项</w:t>
            </w:r>
          </w:p>
        </w:tc>
        <w:tc>
          <w:tcPr>
            <w:tcW w:w="1556" w:type="pct"/>
            <w:tcBorders>
              <w:top w:val="single" w:color="000000" w:sz="4" w:space="0"/>
              <w:bottom w:val="single" w:color="000000" w:sz="4" w:space="0"/>
            </w:tcBorders>
            <w:noWrap w:val="0"/>
            <w:vAlign w:val="center"/>
          </w:tcPr>
          <w:p w14:paraId="376A995B">
            <w:pPr>
              <w:pStyle w:val="98"/>
              <w:autoSpaceDE w:val="0"/>
              <w:autoSpaceDN w:val="0"/>
              <w:spacing w:before="62" w:line="241" w:lineRule="auto"/>
              <w:ind w:left="65"/>
              <w:jc w:val="left"/>
              <w:rPr>
                <w:rFonts w:hint="eastAsia"/>
                <w:kern w:val="0"/>
                <w:lang w:val="en-US" w:eastAsia="zh-CN"/>
              </w:rPr>
            </w:pPr>
            <w:r>
              <w:rPr>
                <w:rFonts w:hint="eastAsia"/>
                <w:kern w:val="0"/>
                <w:lang w:val="en-US" w:eastAsia="zh-CN"/>
              </w:rPr>
              <w:t>甘氨酸、丝氨酸、天门冬酰胺、精氨酸、丙氨酸、氨基丁酸、脯氨酸、酪氨酸、羟基脯氨酸、谷氨酸、天门冬氨酸、组氨酸、缬氨酸、亮氨酸、异亮氨酸、苏氨酸、甲硫氨酸、苯丙氨酸、色氨酸、赖氨酸</w:t>
            </w:r>
          </w:p>
        </w:tc>
        <w:tc>
          <w:tcPr>
            <w:tcW w:w="538" w:type="pct"/>
            <w:vMerge w:val="continue"/>
            <w:tcBorders>
              <w:bottom w:val="single" w:color="000000" w:sz="4" w:space="0"/>
            </w:tcBorders>
            <w:noWrap w:val="0"/>
            <w:vAlign w:val="center"/>
          </w:tcPr>
          <w:p w14:paraId="4CF58686">
            <w:pPr>
              <w:pStyle w:val="98"/>
              <w:autoSpaceDE w:val="0"/>
              <w:autoSpaceDN w:val="0"/>
              <w:spacing w:before="62" w:line="241" w:lineRule="auto"/>
              <w:ind w:left="65"/>
              <w:jc w:val="center"/>
              <w:rPr>
                <w:rFonts w:hint="eastAsia"/>
                <w:kern w:val="0"/>
                <w:lang w:val="en-US" w:eastAsia="zh-CN"/>
              </w:rPr>
            </w:pPr>
          </w:p>
        </w:tc>
        <w:tc>
          <w:tcPr>
            <w:tcW w:w="608" w:type="pct"/>
            <w:tcBorders>
              <w:top w:val="single" w:color="000000" w:sz="4" w:space="0"/>
              <w:bottom w:val="single" w:color="000000" w:sz="4" w:space="0"/>
            </w:tcBorders>
            <w:noWrap w:val="0"/>
            <w:vAlign w:val="center"/>
          </w:tcPr>
          <w:p w14:paraId="04C7CBBF">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质谱法</w:t>
            </w:r>
          </w:p>
        </w:tc>
        <w:tc>
          <w:tcPr>
            <w:tcW w:w="476" w:type="pct"/>
            <w:tcBorders>
              <w:top w:val="single" w:color="000000" w:sz="4" w:space="0"/>
              <w:bottom w:val="single" w:color="000000" w:sz="4" w:space="0"/>
            </w:tcBorders>
            <w:noWrap w:val="0"/>
            <w:vAlign w:val="center"/>
          </w:tcPr>
          <w:p w14:paraId="572EFA25">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3</w:t>
            </w:r>
          </w:p>
        </w:tc>
        <w:tc>
          <w:tcPr>
            <w:tcW w:w="558" w:type="pct"/>
            <w:tcBorders>
              <w:top w:val="single" w:color="000000" w:sz="4" w:space="0"/>
              <w:bottom w:val="single" w:color="000000" w:sz="4" w:space="0"/>
            </w:tcBorders>
            <w:noWrap w:val="0"/>
            <w:vAlign w:val="center"/>
          </w:tcPr>
          <w:p w14:paraId="7A9069C2">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5</w:t>
            </w:r>
          </w:p>
        </w:tc>
      </w:tr>
      <w:tr w14:paraId="1242A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tcBorders>
              <w:top w:val="single" w:color="000000" w:sz="4" w:space="0"/>
              <w:bottom w:val="single" w:color="000000" w:sz="4" w:space="0"/>
            </w:tcBorders>
            <w:noWrap w:val="0"/>
            <w:vAlign w:val="center"/>
          </w:tcPr>
          <w:p w14:paraId="4FAACBA0">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7</w:t>
            </w:r>
          </w:p>
        </w:tc>
        <w:tc>
          <w:tcPr>
            <w:tcW w:w="892" w:type="pct"/>
            <w:tcBorders>
              <w:top w:val="single" w:color="000000" w:sz="4" w:space="0"/>
              <w:bottom w:val="single" w:color="000000" w:sz="4" w:space="0"/>
            </w:tcBorders>
            <w:noWrap w:val="0"/>
            <w:vAlign w:val="center"/>
          </w:tcPr>
          <w:p w14:paraId="7E65ED6B">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精神类药物浓度检测</w:t>
            </w:r>
          </w:p>
        </w:tc>
        <w:tc>
          <w:tcPr>
            <w:tcW w:w="1556" w:type="pct"/>
            <w:tcBorders>
              <w:top w:val="single" w:color="000000" w:sz="4" w:space="0"/>
              <w:bottom w:val="single" w:color="000000" w:sz="4" w:space="0"/>
            </w:tcBorders>
            <w:noWrap w:val="0"/>
            <w:vAlign w:val="center"/>
          </w:tcPr>
          <w:p w14:paraId="4DA2ABAB">
            <w:pPr>
              <w:pStyle w:val="98"/>
              <w:autoSpaceDE w:val="0"/>
              <w:autoSpaceDN w:val="0"/>
              <w:spacing w:before="62" w:line="241" w:lineRule="auto"/>
              <w:ind w:left="65"/>
              <w:jc w:val="left"/>
              <w:rPr>
                <w:rFonts w:hint="eastAsia"/>
                <w:kern w:val="0"/>
                <w:lang w:val="en-US" w:eastAsia="zh-CN"/>
              </w:rPr>
            </w:pPr>
            <w:r>
              <w:rPr>
                <w:rFonts w:hint="eastAsia"/>
                <w:kern w:val="0"/>
                <w:lang w:val="en-US" w:eastAsia="zh-CN"/>
              </w:rPr>
              <w:t>帕罗西汀、氟西汀、去甲氟西汀、文拉法辛、O-去甲文拉法辛、氨磺必利、奥氮平、利培酮、帕利哌酮（9-羟利培酮）、米氮平、氯氮平、N-去甲氯氮平、喹硫平、N-脱烷基喹硫平、阿立哌唑、脱氢阿立哌唑、度洛西汀、氟伏沙明、舍曲林 、西酞普兰、艾司西酞普兰、丙戊酸、托吡酯、苯妥英、左乙拉西坦、舒必利、氟哌啶醇、奋乃静、氟奋乃静、哌罗匹隆、布南色林、布南色林C、坦度螺酮、安非他酮、羟安非他酮、美金刚、阿米替林、去甲替林、氯米帕明、去甲氯米帕明、多塞平、去甲多塞平、曲唑酮、齐拉西酮、多奈哌齐、氯丙嗪、地西泮、去甲地西泮、硝西泮、奥沙西泮、艾司唑仑、唑吡坦、鲁拉西酮、伏硫西汀、米那普仑、米安色林、阿戈美拉汀、劳拉西泮、替马西泮、溴西泮、氯硝西泮、阿普唑仑、咪达唑仑、卡巴拉汀、卡马西平、奥卡西平、10-羟卡马西平、拉莫三嗪、加巴喷丁、苯巴比妥、加兰他敏</w:t>
            </w:r>
          </w:p>
        </w:tc>
        <w:tc>
          <w:tcPr>
            <w:tcW w:w="538" w:type="pct"/>
            <w:tcBorders>
              <w:top w:val="single" w:color="000000" w:sz="4" w:space="0"/>
              <w:bottom w:val="single" w:color="000000" w:sz="4" w:space="0"/>
            </w:tcBorders>
            <w:noWrap w:val="0"/>
            <w:vAlign w:val="center"/>
          </w:tcPr>
          <w:p w14:paraId="729B147D">
            <w:pPr>
              <w:pStyle w:val="98"/>
              <w:autoSpaceDE w:val="0"/>
              <w:autoSpaceDN w:val="0"/>
              <w:spacing w:before="62" w:line="241" w:lineRule="auto"/>
              <w:ind w:left="65"/>
              <w:jc w:val="center"/>
              <w:rPr>
                <w:rFonts w:hint="eastAsia"/>
                <w:kern w:val="0"/>
                <w:lang w:val="en-US" w:eastAsia="zh-CN"/>
              </w:rPr>
            </w:pPr>
            <w:r>
              <w:rPr>
                <w:rFonts w:hint="eastAsia" w:ascii="宋体" w:hAnsi="宋体" w:eastAsia="宋体" w:cs="宋体"/>
                <w:color w:val="auto"/>
                <w:kern w:val="0"/>
                <w:sz w:val="22"/>
                <w:szCs w:val="22"/>
                <w:highlight w:val="none"/>
                <w:lang w:val="en-US" w:eastAsia="zh-CN"/>
              </w:rPr>
              <w:t>参考</w:t>
            </w:r>
            <w:r>
              <w:rPr>
                <w:rFonts w:hint="eastAsia" w:ascii="宋体" w:hAnsi="宋体" w:eastAsia="宋体" w:cs="宋体"/>
                <w:color w:val="auto"/>
                <w:kern w:val="0"/>
                <w:sz w:val="22"/>
                <w:szCs w:val="22"/>
                <w:highlight w:val="none"/>
              </w:rPr>
              <w:t>温州市公立医院医疗服务收费价格标准</w:t>
            </w:r>
          </w:p>
        </w:tc>
        <w:tc>
          <w:tcPr>
            <w:tcW w:w="608" w:type="pct"/>
            <w:tcBorders>
              <w:top w:val="single" w:color="000000" w:sz="4" w:space="0"/>
              <w:bottom w:val="single" w:color="000000" w:sz="4" w:space="0"/>
            </w:tcBorders>
            <w:noWrap w:val="0"/>
            <w:vAlign w:val="center"/>
          </w:tcPr>
          <w:p w14:paraId="734206CD">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质谱法</w:t>
            </w:r>
          </w:p>
        </w:tc>
        <w:tc>
          <w:tcPr>
            <w:tcW w:w="476" w:type="pct"/>
            <w:tcBorders>
              <w:top w:val="single" w:color="000000" w:sz="4" w:space="0"/>
              <w:bottom w:val="single" w:color="000000" w:sz="4" w:space="0"/>
            </w:tcBorders>
            <w:noWrap w:val="0"/>
            <w:vAlign w:val="center"/>
          </w:tcPr>
          <w:p w14:paraId="0AC64A24">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3</w:t>
            </w:r>
          </w:p>
        </w:tc>
        <w:tc>
          <w:tcPr>
            <w:tcW w:w="558" w:type="pct"/>
            <w:tcBorders>
              <w:top w:val="single" w:color="000000" w:sz="4" w:space="0"/>
              <w:bottom w:val="single" w:color="000000" w:sz="4" w:space="0"/>
            </w:tcBorders>
            <w:noWrap w:val="0"/>
            <w:vAlign w:val="center"/>
          </w:tcPr>
          <w:p w14:paraId="54A37B54">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10</w:t>
            </w:r>
          </w:p>
        </w:tc>
      </w:tr>
      <w:tr w14:paraId="6158D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tcBorders>
              <w:top w:val="single" w:color="000000" w:sz="4" w:space="0"/>
              <w:bottom w:val="single" w:color="000000" w:sz="4" w:space="0"/>
            </w:tcBorders>
            <w:noWrap w:val="0"/>
            <w:vAlign w:val="center"/>
          </w:tcPr>
          <w:p w14:paraId="5E5313A2">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8</w:t>
            </w:r>
          </w:p>
        </w:tc>
        <w:tc>
          <w:tcPr>
            <w:tcW w:w="892" w:type="pct"/>
            <w:tcBorders>
              <w:top w:val="single" w:color="000000" w:sz="4" w:space="0"/>
              <w:bottom w:val="single" w:color="000000" w:sz="4" w:space="0"/>
            </w:tcBorders>
            <w:noWrap w:val="0"/>
            <w:vAlign w:val="center"/>
          </w:tcPr>
          <w:p w14:paraId="5C304690">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抗病原微生物药物浓度检测</w:t>
            </w:r>
          </w:p>
        </w:tc>
        <w:tc>
          <w:tcPr>
            <w:tcW w:w="1556" w:type="pct"/>
            <w:tcBorders>
              <w:top w:val="single" w:color="000000" w:sz="4" w:space="0"/>
              <w:bottom w:val="single" w:color="000000" w:sz="4" w:space="0"/>
            </w:tcBorders>
            <w:noWrap w:val="0"/>
            <w:vAlign w:val="center"/>
          </w:tcPr>
          <w:p w14:paraId="22E7CFAF">
            <w:pPr>
              <w:pStyle w:val="98"/>
              <w:autoSpaceDE w:val="0"/>
              <w:autoSpaceDN w:val="0"/>
              <w:spacing w:before="62" w:line="241" w:lineRule="auto"/>
              <w:ind w:left="65"/>
              <w:jc w:val="left"/>
              <w:rPr>
                <w:rFonts w:hint="eastAsia"/>
                <w:kern w:val="0"/>
                <w:lang w:val="en-US" w:eastAsia="zh-CN"/>
              </w:rPr>
            </w:pPr>
            <w:r>
              <w:rPr>
                <w:rFonts w:hint="eastAsia"/>
                <w:kern w:val="0"/>
                <w:lang w:val="en-US" w:eastAsia="zh-CN"/>
              </w:rPr>
              <w:t>舒巴坦、头孢哌酮、莫西沙星、哌拉西林、异烟肼、美罗培南、利奈唑胺、利福平、替加环素、万古霉素；氟康唑，伏立康唑，泊沙康唑，伊曲康唑、羟基伊曲康唑、卡泊芬净；替诺福韦</w:t>
            </w:r>
          </w:p>
        </w:tc>
        <w:tc>
          <w:tcPr>
            <w:tcW w:w="538" w:type="pct"/>
            <w:tcBorders>
              <w:top w:val="single" w:color="000000" w:sz="4" w:space="0"/>
              <w:bottom w:val="single" w:color="000000" w:sz="4" w:space="0"/>
            </w:tcBorders>
            <w:noWrap w:val="0"/>
            <w:vAlign w:val="center"/>
          </w:tcPr>
          <w:p w14:paraId="01FCDA9F">
            <w:pPr>
              <w:pStyle w:val="98"/>
              <w:autoSpaceDE w:val="0"/>
              <w:autoSpaceDN w:val="0"/>
              <w:spacing w:before="62" w:line="241" w:lineRule="auto"/>
              <w:ind w:left="65"/>
              <w:jc w:val="center"/>
              <w:rPr>
                <w:rFonts w:hint="eastAsia"/>
                <w:kern w:val="0"/>
                <w:lang w:val="en-US" w:eastAsia="zh-CN"/>
              </w:rPr>
            </w:pPr>
            <w:r>
              <w:rPr>
                <w:rFonts w:hint="eastAsia" w:ascii="宋体" w:hAnsi="宋体" w:eastAsia="宋体" w:cs="宋体"/>
                <w:color w:val="auto"/>
                <w:kern w:val="0"/>
                <w:sz w:val="22"/>
                <w:szCs w:val="22"/>
                <w:highlight w:val="none"/>
                <w:lang w:val="en-US" w:eastAsia="zh-CN"/>
              </w:rPr>
              <w:t>参考</w:t>
            </w:r>
            <w:r>
              <w:rPr>
                <w:rFonts w:hint="eastAsia" w:ascii="宋体" w:hAnsi="宋体" w:eastAsia="宋体" w:cs="宋体"/>
                <w:color w:val="auto"/>
                <w:kern w:val="0"/>
                <w:sz w:val="22"/>
                <w:szCs w:val="22"/>
                <w:highlight w:val="none"/>
              </w:rPr>
              <w:t>温州市公立医院医疗服务收费价格标准</w:t>
            </w:r>
          </w:p>
        </w:tc>
        <w:tc>
          <w:tcPr>
            <w:tcW w:w="608" w:type="pct"/>
            <w:tcBorders>
              <w:top w:val="single" w:color="000000" w:sz="4" w:space="0"/>
              <w:bottom w:val="single" w:color="000000" w:sz="4" w:space="0"/>
            </w:tcBorders>
            <w:noWrap w:val="0"/>
            <w:vAlign w:val="center"/>
          </w:tcPr>
          <w:p w14:paraId="70F09309">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质谱法</w:t>
            </w:r>
          </w:p>
        </w:tc>
        <w:tc>
          <w:tcPr>
            <w:tcW w:w="476" w:type="pct"/>
            <w:tcBorders>
              <w:top w:val="single" w:color="000000" w:sz="4" w:space="0"/>
              <w:bottom w:val="single" w:color="000000" w:sz="4" w:space="0"/>
            </w:tcBorders>
            <w:noWrap w:val="0"/>
            <w:vAlign w:val="center"/>
          </w:tcPr>
          <w:p w14:paraId="609FF129">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3</w:t>
            </w:r>
          </w:p>
        </w:tc>
        <w:tc>
          <w:tcPr>
            <w:tcW w:w="558" w:type="pct"/>
            <w:tcBorders>
              <w:top w:val="single" w:color="000000" w:sz="4" w:space="0"/>
              <w:bottom w:val="single" w:color="000000" w:sz="4" w:space="0"/>
            </w:tcBorders>
            <w:noWrap w:val="0"/>
            <w:vAlign w:val="center"/>
          </w:tcPr>
          <w:p w14:paraId="388D15FD">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10</w:t>
            </w:r>
          </w:p>
        </w:tc>
      </w:tr>
      <w:tr w14:paraId="4E9F1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tcBorders>
              <w:top w:val="single" w:color="000000" w:sz="4" w:space="0"/>
              <w:bottom w:val="single" w:color="000000" w:sz="4" w:space="0"/>
            </w:tcBorders>
            <w:noWrap w:val="0"/>
            <w:vAlign w:val="center"/>
          </w:tcPr>
          <w:p w14:paraId="23AE2496">
            <w:pPr>
              <w:pStyle w:val="98"/>
              <w:autoSpaceDE w:val="0"/>
              <w:autoSpaceDN w:val="0"/>
              <w:spacing w:before="62" w:line="241" w:lineRule="auto"/>
              <w:ind w:left="65" w:leftChars="0"/>
              <w:jc w:val="center"/>
              <w:rPr>
                <w:rFonts w:hint="eastAsia" w:ascii="新宋体" w:hAnsi="新宋体" w:eastAsia="新宋体" w:cs="新宋体"/>
                <w:kern w:val="0"/>
                <w:sz w:val="22"/>
                <w:szCs w:val="22"/>
                <w:lang w:val="en-US" w:eastAsia="zh-CN" w:bidi="ar-SA"/>
              </w:rPr>
            </w:pPr>
            <w:r>
              <w:rPr>
                <w:rFonts w:hint="eastAsia"/>
                <w:kern w:val="0"/>
                <w:lang w:val="en-US" w:eastAsia="zh-CN"/>
              </w:rPr>
              <w:t>9</w:t>
            </w:r>
          </w:p>
        </w:tc>
        <w:tc>
          <w:tcPr>
            <w:tcW w:w="892" w:type="pct"/>
            <w:tcBorders>
              <w:top w:val="single" w:color="000000" w:sz="4" w:space="0"/>
              <w:bottom w:val="single" w:color="000000" w:sz="4" w:space="0"/>
            </w:tcBorders>
            <w:noWrap w:val="0"/>
            <w:vAlign w:val="center"/>
          </w:tcPr>
          <w:p w14:paraId="57733A6B">
            <w:pPr>
              <w:pStyle w:val="98"/>
              <w:autoSpaceDE w:val="0"/>
              <w:autoSpaceDN w:val="0"/>
              <w:spacing w:before="62" w:line="241" w:lineRule="auto"/>
              <w:ind w:left="65" w:leftChars="0"/>
              <w:jc w:val="center"/>
              <w:rPr>
                <w:rFonts w:hint="eastAsia" w:ascii="新宋体" w:hAnsi="新宋体" w:eastAsia="新宋体" w:cs="新宋体"/>
                <w:kern w:val="0"/>
                <w:sz w:val="22"/>
                <w:szCs w:val="22"/>
                <w:lang w:val="en-US" w:eastAsia="zh-CN" w:bidi="ar-SA"/>
              </w:rPr>
            </w:pPr>
            <w:r>
              <w:rPr>
                <w:rFonts w:hint="eastAsia"/>
                <w:kern w:val="0"/>
                <w:lang w:val="en-US" w:eastAsia="zh-CN"/>
              </w:rPr>
              <w:t>继发性高血压病因筛查</w:t>
            </w:r>
          </w:p>
        </w:tc>
        <w:tc>
          <w:tcPr>
            <w:tcW w:w="1556" w:type="pct"/>
            <w:tcBorders>
              <w:top w:val="single" w:color="000000" w:sz="4" w:space="0"/>
              <w:bottom w:val="single" w:color="000000" w:sz="4" w:space="0"/>
            </w:tcBorders>
            <w:noWrap w:val="0"/>
            <w:vAlign w:val="center"/>
          </w:tcPr>
          <w:p w14:paraId="3BA3A6BE">
            <w:pPr>
              <w:pStyle w:val="98"/>
              <w:autoSpaceDE w:val="0"/>
              <w:autoSpaceDN w:val="0"/>
              <w:spacing w:before="62" w:line="241" w:lineRule="auto"/>
              <w:ind w:left="65" w:leftChars="0"/>
              <w:jc w:val="left"/>
              <w:rPr>
                <w:rFonts w:hint="eastAsia" w:ascii="新宋体" w:hAnsi="新宋体" w:eastAsia="新宋体" w:cs="新宋体"/>
                <w:kern w:val="0"/>
                <w:sz w:val="22"/>
                <w:szCs w:val="22"/>
                <w:lang w:val="en-US" w:eastAsia="zh-CN" w:bidi="ar-SA"/>
              </w:rPr>
            </w:pPr>
            <w:r>
              <w:rPr>
                <w:rFonts w:hint="eastAsia"/>
                <w:kern w:val="0"/>
                <w:lang w:val="en-US" w:eastAsia="zh-CN"/>
              </w:rPr>
              <w:t>多巴胺（DA）（血、尿）、高香草酸（HVA）（血、尿)、去甲肾上腺素（NE）（血、尿）、3-甲氧基去甲肾上腺素（NMN）（血、尿）、肾上腺素（E）（血、尿）、3-甲氧基肾上腺素（MN）（血、尿）、香草扁桃酸（VMA）（血、尿）、肌酐（尿）、皮质素、皮质醇、皮质酮、11-脱氧皮质醇、血管紧张素 I、21-脱氧皮质醇、醛固酮、醛固酮/肾素活性（ARR）</w:t>
            </w:r>
          </w:p>
        </w:tc>
        <w:tc>
          <w:tcPr>
            <w:tcW w:w="538" w:type="pct"/>
            <w:tcBorders>
              <w:top w:val="single" w:color="000000" w:sz="4" w:space="0"/>
              <w:bottom w:val="single" w:color="000000" w:sz="4" w:space="0"/>
            </w:tcBorders>
            <w:noWrap w:val="0"/>
            <w:vAlign w:val="center"/>
          </w:tcPr>
          <w:p w14:paraId="097C149D">
            <w:pPr>
              <w:pStyle w:val="98"/>
              <w:autoSpaceDE w:val="0"/>
              <w:autoSpaceDN w:val="0"/>
              <w:spacing w:before="62" w:line="241" w:lineRule="auto"/>
              <w:ind w:left="65" w:leftChars="0"/>
              <w:jc w:val="center"/>
              <w:rPr>
                <w:rFonts w:hint="eastAsia" w:ascii="新宋体" w:hAnsi="新宋体" w:eastAsia="新宋体" w:cs="新宋体"/>
                <w:kern w:val="0"/>
                <w:sz w:val="22"/>
                <w:szCs w:val="22"/>
                <w:lang w:val="en-US" w:eastAsia="zh-CN" w:bidi="ar-SA"/>
              </w:rPr>
            </w:pPr>
            <w:r>
              <w:rPr>
                <w:rFonts w:hint="eastAsia"/>
                <w:kern w:val="0"/>
                <w:lang w:val="en-US" w:eastAsia="zh-CN"/>
              </w:rPr>
              <w:t>529</w:t>
            </w:r>
          </w:p>
        </w:tc>
        <w:tc>
          <w:tcPr>
            <w:tcW w:w="608" w:type="pct"/>
            <w:tcBorders>
              <w:top w:val="single" w:color="000000" w:sz="4" w:space="0"/>
              <w:bottom w:val="single" w:color="000000" w:sz="4" w:space="0"/>
            </w:tcBorders>
            <w:noWrap w:val="0"/>
            <w:vAlign w:val="center"/>
          </w:tcPr>
          <w:p w14:paraId="0217CFB8">
            <w:pPr>
              <w:pStyle w:val="98"/>
              <w:autoSpaceDE w:val="0"/>
              <w:autoSpaceDN w:val="0"/>
              <w:spacing w:before="62" w:line="241" w:lineRule="auto"/>
              <w:ind w:left="65" w:leftChars="0"/>
              <w:jc w:val="center"/>
              <w:rPr>
                <w:rFonts w:hint="eastAsia" w:ascii="新宋体" w:hAnsi="新宋体" w:eastAsia="新宋体" w:cs="新宋体"/>
                <w:kern w:val="0"/>
                <w:sz w:val="22"/>
                <w:szCs w:val="22"/>
                <w:lang w:val="en-US" w:eastAsia="zh-CN" w:bidi="ar-SA"/>
              </w:rPr>
            </w:pPr>
            <w:r>
              <w:rPr>
                <w:rFonts w:hint="eastAsia"/>
                <w:kern w:val="0"/>
                <w:lang w:val="en-US" w:eastAsia="zh-CN"/>
              </w:rPr>
              <w:t>质谱法</w:t>
            </w:r>
          </w:p>
        </w:tc>
        <w:tc>
          <w:tcPr>
            <w:tcW w:w="476" w:type="pct"/>
            <w:tcBorders>
              <w:top w:val="single" w:color="000000" w:sz="4" w:space="0"/>
              <w:bottom w:val="single" w:color="000000" w:sz="4" w:space="0"/>
            </w:tcBorders>
            <w:noWrap w:val="0"/>
            <w:vAlign w:val="center"/>
          </w:tcPr>
          <w:p w14:paraId="341D33B0">
            <w:pPr>
              <w:pStyle w:val="98"/>
              <w:autoSpaceDE w:val="0"/>
              <w:autoSpaceDN w:val="0"/>
              <w:spacing w:before="62" w:line="241" w:lineRule="auto"/>
              <w:ind w:left="65" w:leftChars="0"/>
              <w:jc w:val="center"/>
              <w:rPr>
                <w:rFonts w:hint="eastAsia" w:ascii="新宋体" w:hAnsi="新宋体" w:eastAsia="新宋体" w:cs="新宋体"/>
                <w:kern w:val="0"/>
                <w:sz w:val="22"/>
                <w:szCs w:val="22"/>
                <w:lang w:val="en-US" w:eastAsia="zh-CN" w:bidi="ar-SA"/>
              </w:rPr>
            </w:pPr>
            <w:r>
              <w:rPr>
                <w:rFonts w:hint="eastAsia"/>
                <w:kern w:val="0"/>
                <w:lang w:val="en-US" w:eastAsia="zh-CN"/>
              </w:rPr>
              <w:t>3</w:t>
            </w:r>
          </w:p>
        </w:tc>
        <w:tc>
          <w:tcPr>
            <w:tcW w:w="558" w:type="pct"/>
            <w:tcBorders>
              <w:top w:val="single" w:color="000000" w:sz="4" w:space="0"/>
              <w:bottom w:val="single" w:color="000000" w:sz="4" w:space="0"/>
            </w:tcBorders>
            <w:noWrap w:val="0"/>
            <w:vAlign w:val="center"/>
          </w:tcPr>
          <w:p w14:paraId="7E81A02D">
            <w:pPr>
              <w:pStyle w:val="98"/>
              <w:autoSpaceDE w:val="0"/>
              <w:autoSpaceDN w:val="0"/>
              <w:spacing w:before="62" w:line="241" w:lineRule="auto"/>
              <w:ind w:left="65" w:leftChars="0"/>
              <w:jc w:val="center"/>
              <w:rPr>
                <w:rFonts w:hint="eastAsia" w:ascii="新宋体" w:hAnsi="新宋体" w:eastAsia="新宋体" w:cs="新宋体"/>
                <w:kern w:val="0"/>
                <w:sz w:val="22"/>
                <w:szCs w:val="22"/>
                <w:lang w:val="en-US" w:eastAsia="zh-CN" w:bidi="ar-SA"/>
              </w:rPr>
            </w:pPr>
            <w:r>
              <w:rPr>
                <w:rFonts w:hint="eastAsia"/>
                <w:kern w:val="0"/>
                <w:lang w:val="en-US" w:eastAsia="zh-CN"/>
              </w:rPr>
              <w:t>400</w:t>
            </w:r>
          </w:p>
        </w:tc>
      </w:tr>
      <w:tr w14:paraId="013C6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vMerge w:val="restart"/>
            <w:tcBorders>
              <w:top w:val="single" w:color="000000" w:sz="4" w:space="0"/>
            </w:tcBorders>
            <w:noWrap w:val="0"/>
            <w:vAlign w:val="center"/>
          </w:tcPr>
          <w:p w14:paraId="19F4173B">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10</w:t>
            </w:r>
          </w:p>
        </w:tc>
        <w:tc>
          <w:tcPr>
            <w:tcW w:w="892" w:type="pct"/>
            <w:vMerge w:val="restart"/>
            <w:tcBorders>
              <w:top w:val="single" w:color="000000" w:sz="4" w:space="0"/>
            </w:tcBorders>
            <w:noWrap w:val="0"/>
            <w:vAlign w:val="center"/>
          </w:tcPr>
          <w:p w14:paraId="234B3D17">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多囊卵巢综合征（PCOS）诊断激素检测</w:t>
            </w:r>
          </w:p>
        </w:tc>
        <w:tc>
          <w:tcPr>
            <w:tcW w:w="1556" w:type="pct"/>
            <w:tcBorders>
              <w:top w:val="single" w:color="000000" w:sz="4" w:space="0"/>
              <w:bottom w:val="single" w:color="000000" w:sz="4" w:space="0"/>
            </w:tcBorders>
            <w:noWrap w:val="0"/>
            <w:vAlign w:val="center"/>
          </w:tcPr>
          <w:p w14:paraId="2C6A9597">
            <w:pPr>
              <w:pStyle w:val="98"/>
              <w:autoSpaceDE w:val="0"/>
              <w:autoSpaceDN w:val="0"/>
              <w:spacing w:before="62" w:line="241" w:lineRule="auto"/>
              <w:ind w:left="65"/>
              <w:jc w:val="left"/>
              <w:rPr>
                <w:rFonts w:hint="eastAsia"/>
                <w:kern w:val="0"/>
                <w:lang w:val="en-US" w:eastAsia="zh-CN"/>
              </w:rPr>
            </w:pPr>
            <w:r>
              <w:rPr>
                <w:rFonts w:hint="eastAsia"/>
                <w:kern w:val="0"/>
                <w:lang w:val="en-US" w:eastAsia="zh-CN"/>
              </w:rPr>
              <w:t>黄体生成激素（LH）、卵泡刺激激素（FSH）、促甲状腺激素（TSH）、雌二醇（E2）、泌乳素（PRL）、单体泌乳素（PRL）、抗缪勒管激素（AMH）、性激素结合球蛋白SHGB、C肽</w:t>
            </w:r>
          </w:p>
        </w:tc>
        <w:tc>
          <w:tcPr>
            <w:tcW w:w="538" w:type="pct"/>
            <w:vMerge w:val="restart"/>
            <w:tcBorders>
              <w:top w:val="single" w:color="000000" w:sz="4" w:space="0"/>
            </w:tcBorders>
            <w:noWrap w:val="0"/>
            <w:vAlign w:val="center"/>
          </w:tcPr>
          <w:p w14:paraId="5D6C5B07">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573</w:t>
            </w:r>
          </w:p>
        </w:tc>
        <w:tc>
          <w:tcPr>
            <w:tcW w:w="608" w:type="pct"/>
            <w:tcBorders>
              <w:top w:val="single" w:color="000000" w:sz="4" w:space="0"/>
              <w:bottom w:val="single" w:color="000000" w:sz="4" w:space="0"/>
            </w:tcBorders>
            <w:noWrap w:val="0"/>
            <w:vAlign w:val="center"/>
          </w:tcPr>
          <w:p w14:paraId="4AAEC763">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化学发光法</w:t>
            </w:r>
          </w:p>
        </w:tc>
        <w:tc>
          <w:tcPr>
            <w:tcW w:w="476" w:type="pct"/>
            <w:vMerge w:val="restart"/>
            <w:tcBorders>
              <w:top w:val="single" w:color="000000" w:sz="4" w:space="0"/>
            </w:tcBorders>
            <w:noWrap w:val="0"/>
            <w:vAlign w:val="center"/>
          </w:tcPr>
          <w:p w14:paraId="57D495E9">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3</w:t>
            </w:r>
          </w:p>
        </w:tc>
        <w:tc>
          <w:tcPr>
            <w:tcW w:w="558" w:type="pct"/>
            <w:vMerge w:val="restart"/>
            <w:tcBorders>
              <w:top w:val="single" w:color="000000" w:sz="4" w:space="0"/>
            </w:tcBorders>
            <w:noWrap w:val="0"/>
            <w:vAlign w:val="center"/>
          </w:tcPr>
          <w:p w14:paraId="4E55B338">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50</w:t>
            </w:r>
          </w:p>
        </w:tc>
      </w:tr>
      <w:tr w14:paraId="54C27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vMerge w:val="continue"/>
            <w:tcBorders>
              <w:bottom w:val="single" w:color="000000" w:sz="4" w:space="0"/>
            </w:tcBorders>
            <w:noWrap w:val="0"/>
            <w:vAlign w:val="center"/>
          </w:tcPr>
          <w:p w14:paraId="1DEF8E8C">
            <w:pPr>
              <w:pStyle w:val="98"/>
              <w:autoSpaceDE w:val="0"/>
              <w:autoSpaceDN w:val="0"/>
              <w:spacing w:before="62" w:line="241" w:lineRule="auto"/>
              <w:ind w:left="65"/>
              <w:jc w:val="center"/>
              <w:rPr>
                <w:rFonts w:hint="default"/>
                <w:kern w:val="0"/>
                <w:lang w:val="en-US" w:eastAsia="zh-CN"/>
              </w:rPr>
            </w:pPr>
          </w:p>
        </w:tc>
        <w:tc>
          <w:tcPr>
            <w:tcW w:w="892" w:type="pct"/>
            <w:vMerge w:val="continue"/>
            <w:tcBorders>
              <w:bottom w:val="single" w:color="000000" w:sz="4" w:space="0"/>
            </w:tcBorders>
            <w:noWrap w:val="0"/>
            <w:vAlign w:val="center"/>
          </w:tcPr>
          <w:p w14:paraId="7C237EC6">
            <w:pPr>
              <w:pStyle w:val="98"/>
              <w:autoSpaceDE w:val="0"/>
              <w:autoSpaceDN w:val="0"/>
              <w:spacing w:before="62" w:line="241" w:lineRule="auto"/>
              <w:ind w:left="65"/>
              <w:jc w:val="center"/>
              <w:rPr>
                <w:rFonts w:hint="eastAsia"/>
                <w:kern w:val="0"/>
                <w:lang w:val="en-US" w:eastAsia="zh-CN"/>
              </w:rPr>
            </w:pPr>
          </w:p>
        </w:tc>
        <w:tc>
          <w:tcPr>
            <w:tcW w:w="1556" w:type="pct"/>
            <w:tcBorders>
              <w:top w:val="single" w:color="000000" w:sz="4" w:space="0"/>
              <w:bottom w:val="single" w:color="000000" w:sz="4" w:space="0"/>
            </w:tcBorders>
            <w:noWrap w:val="0"/>
            <w:vAlign w:val="center"/>
          </w:tcPr>
          <w:p w14:paraId="58944BC3">
            <w:pPr>
              <w:pStyle w:val="98"/>
              <w:autoSpaceDE w:val="0"/>
              <w:autoSpaceDN w:val="0"/>
              <w:spacing w:before="62" w:line="241" w:lineRule="auto"/>
              <w:ind w:left="65"/>
              <w:jc w:val="left"/>
              <w:rPr>
                <w:rFonts w:hint="eastAsia"/>
                <w:kern w:val="0"/>
                <w:lang w:val="en-US" w:eastAsia="zh-CN"/>
              </w:rPr>
            </w:pPr>
            <w:r>
              <w:rPr>
                <w:rFonts w:hint="eastAsia"/>
                <w:kern w:val="0"/>
                <w:lang w:val="en-US" w:eastAsia="zh-CN"/>
              </w:rPr>
              <w:t>孕酮（P）、睾酮（TT）、双氢睾酮（DHT）、游离睾酮(FT)、雄烯二酮（A4）、脱氢表雄酮（DHEA）、脱氢表雄酮硫酸酯（DHEAS）、17-α羟孕酮(17-OHPG)、17-羟孕烯醇酮、孕烯醇酮、11-脱氧皮质醇、11-脱氧皮质酮、皮质醇、醛固酮、雌酮、雌三醇</w:t>
            </w:r>
          </w:p>
        </w:tc>
        <w:tc>
          <w:tcPr>
            <w:tcW w:w="538" w:type="pct"/>
            <w:vMerge w:val="continue"/>
            <w:tcBorders>
              <w:bottom w:val="single" w:color="000000" w:sz="4" w:space="0"/>
            </w:tcBorders>
            <w:noWrap w:val="0"/>
            <w:vAlign w:val="center"/>
          </w:tcPr>
          <w:p w14:paraId="3390CE34">
            <w:pPr>
              <w:pStyle w:val="98"/>
              <w:autoSpaceDE w:val="0"/>
              <w:autoSpaceDN w:val="0"/>
              <w:spacing w:before="62" w:line="241" w:lineRule="auto"/>
              <w:ind w:left="65"/>
              <w:jc w:val="center"/>
              <w:rPr>
                <w:rFonts w:hint="eastAsia"/>
                <w:kern w:val="0"/>
                <w:lang w:val="en-US" w:eastAsia="zh-CN"/>
              </w:rPr>
            </w:pPr>
          </w:p>
        </w:tc>
        <w:tc>
          <w:tcPr>
            <w:tcW w:w="608" w:type="pct"/>
            <w:tcBorders>
              <w:top w:val="single" w:color="000000" w:sz="4" w:space="0"/>
              <w:bottom w:val="single" w:color="000000" w:sz="4" w:space="0"/>
            </w:tcBorders>
            <w:noWrap w:val="0"/>
            <w:vAlign w:val="center"/>
          </w:tcPr>
          <w:p w14:paraId="5F4ACA64">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质谱法</w:t>
            </w:r>
          </w:p>
        </w:tc>
        <w:tc>
          <w:tcPr>
            <w:tcW w:w="476" w:type="pct"/>
            <w:vMerge w:val="continue"/>
            <w:tcBorders>
              <w:bottom w:val="single" w:color="000000" w:sz="4" w:space="0"/>
            </w:tcBorders>
            <w:noWrap w:val="0"/>
            <w:vAlign w:val="center"/>
          </w:tcPr>
          <w:p w14:paraId="24CDF77D">
            <w:pPr>
              <w:pStyle w:val="98"/>
              <w:autoSpaceDE w:val="0"/>
              <w:autoSpaceDN w:val="0"/>
              <w:spacing w:before="62" w:line="241" w:lineRule="auto"/>
              <w:ind w:left="65"/>
              <w:jc w:val="center"/>
              <w:rPr>
                <w:rFonts w:hint="eastAsia"/>
                <w:kern w:val="0"/>
                <w:lang w:val="en-US" w:eastAsia="zh-CN"/>
              </w:rPr>
            </w:pPr>
          </w:p>
        </w:tc>
        <w:tc>
          <w:tcPr>
            <w:tcW w:w="558" w:type="pct"/>
            <w:vMerge w:val="continue"/>
            <w:tcBorders>
              <w:bottom w:val="single" w:color="000000" w:sz="4" w:space="0"/>
            </w:tcBorders>
            <w:noWrap w:val="0"/>
            <w:vAlign w:val="center"/>
          </w:tcPr>
          <w:p w14:paraId="66014FB1">
            <w:pPr>
              <w:pStyle w:val="98"/>
              <w:autoSpaceDE w:val="0"/>
              <w:autoSpaceDN w:val="0"/>
              <w:spacing w:before="62" w:line="241" w:lineRule="auto"/>
              <w:ind w:left="65"/>
              <w:jc w:val="center"/>
              <w:rPr>
                <w:rFonts w:hint="eastAsia"/>
                <w:kern w:val="0"/>
                <w:lang w:val="en-US" w:eastAsia="zh-CN"/>
              </w:rPr>
            </w:pPr>
          </w:p>
        </w:tc>
      </w:tr>
      <w:tr w14:paraId="41768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vMerge w:val="restart"/>
            <w:tcBorders>
              <w:top w:val="single" w:color="000000" w:sz="4" w:space="0"/>
            </w:tcBorders>
            <w:noWrap w:val="0"/>
            <w:vAlign w:val="center"/>
          </w:tcPr>
          <w:p w14:paraId="02832E96">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11</w:t>
            </w:r>
          </w:p>
        </w:tc>
        <w:tc>
          <w:tcPr>
            <w:tcW w:w="892" w:type="pct"/>
            <w:vMerge w:val="restart"/>
            <w:tcBorders>
              <w:top w:val="single" w:color="000000" w:sz="4" w:space="0"/>
            </w:tcBorders>
            <w:noWrap w:val="0"/>
            <w:vAlign w:val="center"/>
          </w:tcPr>
          <w:p w14:paraId="437DD00F">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多囊卵巢综合征(PCOS)随访激素评估</w:t>
            </w:r>
          </w:p>
        </w:tc>
        <w:tc>
          <w:tcPr>
            <w:tcW w:w="1556" w:type="pct"/>
            <w:tcBorders>
              <w:top w:val="single" w:color="000000" w:sz="4" w:space="0"/>
              <w:bottom w:val="single" w:color="000000" w:sz="4" w:space="0"/>
            </w:tcBorders>
            <w:noWrap w:val="0"/>
            <w:vAlign w:val="center"/>
          </w:tcPr>
          <w:p w14:paraId="72AA1249">
            <w:pPr>
              <w:pStyle w:val="98"/>
              <w:autoSpaceDE w:val="0"/>
              <w:autoSpaceDN w:val="0"/>
              <w:spacing w:before="62" w:line="241" w:lineRule="auto"/>
              <w:ind w:left="65"/>
              <w:jc w:val="left"/>
              <w:rPr>
                <w:rFonts w:hint="eastAsia"/>
                <w:kern w:val="0"/>
                <w:lang w:val="en-US" w:eastAsia="zh-CN"/>
              </w:rPr>
            </w:pPr>
            <w:r>
              <w:rPr>
                <w:rFonts w:hint="eastAsia"/>
                <w:kern w:val="0"/>
                <w:lang w:val="en-US" w:eastAsia="zh-CN"/>
              </w:rPr>
              <w:t>黄体生成激素（LH）、卵泡刺激激素（FSH）、雌二醇（E2）、抗缪勒管激素（AMH）</w:t>
            </w:r>
          </w:p>
        </w:tc>
        <w:tc>
          <w:tcPr>
            <w:tcW w:w="538" w:type="pct"/>
            <w:vMerge w:val="restart"/>
            <w:tcBorders>
              <w:top w:val="single" w:color="000000" w:sz="4" w:space="0"/>
            </w:tcBorders>
            <w:noWrap w:val="0"/>
            <w:vAlign w:val="center"/>
          </w:tcPr>
          <w:p w14:paraId="57436A27">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400</w:t>
            </w:r>
          </w:p>
        </w:tc>
        <w:tc>
          <w:tcPr>
            <w:tcW w:w="608" w:type="pct"/>
            <w:tcBorders>
              <w:top w:val="single" w:color="000000" w:sz="4" w:space="0"/>
              <w:bottom w:val="single" w:color="000000" w:sz="4" w:space="0"/>
            </w:tcBorders>
            <w:noWrap w:val="0"/>
            <w:vAlign w:val="center"/>
          </w:tcPr>
          <w:p w14:paraId="32F4EACF">
            <w:pPr>
              <w:pStyle w:val="98"/>
              <w:autoSpaceDE w:val="0"/>
              <w:autoSpaceDN w:val="0"/>
              <w:spacing w:before="62" w:line="241" w:lineRule="auto"/>
              <w:ind w:left="65"/>
              <w:jc w:val="center"/>
              <w:rPr>
                <w:rFonts w:hint="eastAsia"/>
                <w:kern w:val="0"/>
                <w:lang w:val="en-US" w:eastAsia="zh-CN"/>
              </w:rPr>
            </w:pPr>
            <w:r>
              <w:rPr>
                <w:rFonts w:hint="eastAsia"/>
                <w:kern w:val="0"/>
                <w:lang w:val="en-US" w:eastAsia="zh-CN"/>
              </w:rPr>
              <w:t>化学发光法</w:t>
            </w:r>
          </w:p>
        </w:tc>
        <w:tc>
          <w:tcPr>
            <w:tcW w:w="476" w:type="pct"/>
            <w:vMerge w:val="restart"/>
            <w:tcBorders>
              <w:top w:val="single" w:color="000000" w:sz="4" w:space="0"/>
            </w:tcBorders>
            <w:noWrap w:val="0"/>
            <w:vAlign w:val="center"/>
          </w:tcPr>
          <w:p w14:paraId="5AA1C854">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3</w:t>
            </w:r>
          </w:p>
        </w:tc>
        <w:tc>
          <w:tcPr>
            <w:tcW w:w="558" w:type="pct"/>
            <w:vMerge w:val="restart"/>
            <w:tcBorders>
              <w:top w:val="single" w:color="000000" w:sz="4" w:space="0"/>
            </w:tcBorders>
            <w:noWrap w:val="0"/>
            <w:vAlign w:val="center"/>
          </w:tcPr>
          <w:p w14:paraId="3BA034D6">
            <w:pPr>
              <w:pStyle w:val="98"/>
              <w:autoSpaceDE w:val="0"/>
              <w:autoSpaceDN w:val="0"/>
              <w:spacing w:before="62" w:line="241" w:lineRule="auto"/>
              <w:ind w:left="65"/>
              <w:jc w:val="center"/>
              <w:rPr>
                <w:rFonts w:hint="default"/>
                <w:kern w:val="0"/>
                <w:lang w:val="en-US" w:eastAsia="zh-CN"/>
              </w:rPr>
            </w:pPr>
            <w:r>
              <w:rPr>
                <w:rFonts w:hint="eastAsia"/>
                <w:kern w:val="0"/>
                <w:lang w:val="en-US" w:eastAsia="zh-CN"/>
              </w:rPr>
              <w:t>50</w:t>
            </w:r>
          </w:p>
        </w:tc>
      </w:tr>
      <w:tr w14:paraId="017BE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69" w:type="pct"/>
            <w:vMerge w:val="continue"/>
            <w:tcBorders>
              <w:bottom w:val="single" w:color="000000" w:sz="4" w:space="0"/>
            </w:tcBorders>
            <w:noWrap w:val="0"/>
            <w:vAlign w:val="center"/>
          </w:tcPr>
          <w:p w14:paraId="0599CD66">
            <w:pPr>
              <w:pStyle w:val="98"/>
              <w:autoSpaceDE w:val="0"/>
              <w:autoSpaceDN w:val="0"/>
              <w:spacing w:before="62" w:line="241" w:lineRule="auto"/>
              <w:ind w:left="65"/>
              <w:jc w:val="center"/>
              <w:rPr>
                <w:rFonts w:hint="eastAsia"/>
                <w:kern w:val="0"/>
                <w:lang w:val="en-US" w:eastAsia="zh-CN"/>
              </w:rPr>
            </w:pPr>
          </w:p>
        </w:tc>
        <w:tc>
          <w:tcPr>
            <w:tcW w:w="892" w:type="pct"/>
            <w:vMerge w:val="continue"/>
            <w:tcBorders>
              <w:bottom w:val="single" w:color="000000" w:sz="4" w:space="0"/>
            </w:tcBorders>
            <w:noWrap w:val="0"/>
            <w:vAlign w:val="center"/>
          </w:tcPr>
          <w:p w14:paraId="67F33415">
            <w:pPr>
              <w:pStyle w:val="98"/>
              <w:autoSpaceDE w:val="0"/>
              <w:autoSpaceDN w:val="0"/>
              <w:spacing w:before="62" w:line="241" w:lineRule="auto"/>
              <w:ind w:left="65"/>
              <w:jc w:val="center"/>
              <w:rPr>
                <w:rFonts w:hint="eastAsia"/>
                <w:kern w:val="0"/>
                <w:lang w:val="en-US" w:eastAsia="zh-CN"/>
              </w:rPr>
            </w:pPr>
          </w:p>
        </w:tc>
        <w:tc>
          <w:tcPr>
            <w:tcW w:w="1556" w:type="pct"/>
            <w:tcBorders>
              <w:top w:val="single" w:color="000000" w:sz="4" w:space="0"/>
              <w:bottom w:val="single" w:color="000000" w:sz="4" w:space="0"/>
            </w:tcBorders>
            <w:noWrap w:val="0"/>
            <w:vAlign w:val="center"/>
          </w:tcPr>
          <w:p w14:paraId="2D729603">
            <w:pPr>
              <w:pStyle w:val="98"/>
              <w:autoSpaceDE w:val="0"/>
              <w:autoSpaceDN w:val="0"/>
              <w:spacing w:before="62" w:line="241" w:lineRule="auto"/>
              <w:ind w:left="65"/>
              <w:jc w:val="left"/>
              <w:rPr>
                <w:rFonts w:hint="eastAsia"/>
                <w:kern w:val="0"/>
                <w:lang w:val="en-US" w:eastAsia="zh-CN"/>
              </w:rPr>
            </w:pPr>
            <w:r>
              <w:rPr>
                <w:rFonts w:hint="eastAsia"/>
                <w:kern w:val="0"/>
                <w:lang w:val="en-US" w:eastAsia="zh-CN"/>
              </w:rPr>
              <w:t>孕酮（P）、睾酮（TT）、双氢睾酮（DHT）、游离睾酮(FT)、雄烯二酮（A4）、脱氢表雄酮（DHEA）、脱氢表雄酮硫酸酯（DHEAS）</w:t>
            </w:r>
          </w:p>
        </w:tc>
        <w:tc>
          <w:tcPr>
            <w:tcW w:w="538" w:type="pct"/>
            <w:vMerge w:val="continue"/>
            <w:tcBorders>
              <w:bottom w:val="single" w:color="000000" w:sz="4" w:space="0"/>
            </w:tcBorders>
            <w:noWrap w:val="0"/>
            <w:vAlign w:val="center"/>
          </w:tcPr>
          <w:p w14:paraId="714FB9A6">
            <w:pPr>
              <w:autoSpaceDE w:val="0"/>
              <w:autoSpaceDN w:val="0"/>
              <w:jc w:val="center"/>
              <w:rPr>
                <w:rFonts w:hint="eastAsia" w:ascii="Times New Roman" w:hAnsi="Times New Roman" w:eastAsia="宋体" w:cs="Times New Roman"/>
                <w:spacing w:val="-3"/>
                <w:kern w:val="0"/>
                <w:sz w:val="20"/>
                <w:szCs w:val="20"/>
                <w:lang w:val="en-US" w:eastAsia="zh-CN"/>
              </w:rPr>
            </w:pPr>
          </w:p>
        </w:tc>
        <w:tc>
          <w:tcPr>
            <w:tcW w:w="608" w:type="pct"/>
            <w:tcBorders>
              <w:top w:val="single" w:color="000000" w:sz="4" w:space="0"/>
              <w:bottom w:val="single" w:color="000000" w:sz="4" w:space="0"/>
            </w:tcBorders>
            <w:noWrap w:val="0"/>
            <w:vAlign w:val="center"/>
          </w:tcPr>
          <w:p w14:paraId="5A62A0B9">
            <w:pPr>
              <w:autoSpaceDE w:val="0"/>
              <w:autoSpaceDN w:val="0"/>
              <w:jc w:val="center"/>
              <w:rPr>
                <w:rFonts w:hint="eastAsia" w:ascii="Times New Roman" w:hAnsi="Times New Roman" w:eastAsia="宋体" w:cs="Times New Roman"/>
                <w:spacing w:val="-3"/>
                <w:kern w:val="0"/>
                <w:sz w:val="20"/>
                <w:szCs w:val="20"/>
                <w:lang w:val="en-US" w:eastAsia="zh-CN" w:bidi="ar-SA"/>
              </w:rPr>
            </w:pPr>
            <w:r>
              <w:rPr>
                <w:rFonts w:hint="eastAsia" w:ascii="新宋体" w:hAnsi="新宋体" w:eastAsia="新宋体" w:cs="新宋体"/>
                <w:kern w:val="0"/>
                <w:sz w:val="20"/>
                <w:szCs w:val="21"/>
              </w:rPr>
              <w:t>质谱法</w:t>
            </w:r>
          </w:p>
        </w:tc>
        <w:tc>
          <w:tcPr>
            <w:tcW w:w="476" w:type="pct"/>
            <w:vMerge w:val="continue"/>
            <w:tcBorders>
              <w:bottom w:val="single" w:color="000000" w:sz="4" w:space="0"/>
            </w:tcBorders>
            <w:noWrap w:val="0"/>
            <w:vAlign w:val="top"/>
          </w:tcPr>
          <w:p w14:paraId="1DA0B658">
            <w:pPr>
              <w:pStyle w:val="98"/>
              <w:autoSpaceDE w:val="0"/>
              <w:autoSpaceDN w:val="0"/>
              <w:spacing w:before="62" w:line="219" w:lineRule="auto"/>
              <w:ind w:left="97"/>
              <w:rPr>
                <w:rFonts w:hint="eastAsia"/>
                <w:spacing w:val="7"/>
                <w:kern w:val="0"/>
                <w:lang w:val="en-US" w:eastAsia="zh-CN"/>
              </w:rPr>
            </w:pPr>
          </w:p>
        </w:tc>
        <w:tc>
          <w:tcPr>
            <w:tcW w:w="558" w:type="pct"/>
            <w:vMerge w:val="continue"/>
            <w:tcBorders>
              <w:bottom w:val="single" w:color="000000" w:sz="4" w:space="0"/>
            </w:tcBorders>
            <w:noWrap w:val="0"/>
            <w:vAlign w:val="top"/>
          </w:tcPr>
          <w:p w14:paraId="6982BBB3">
            <w:pPr>
              <w:pStyle w:val="98"/>
              <w:autoSpaceDE w:val="0"/>
              <w:autoSpaceDN w:val="0"/>
              <w:spacing w:before="62" w:line="219" w:lineRule="auto"/>
              <w:ind w:left="97" w:firstLine="474" w:firstLineChars="200"/>
              <w:rPr>
                <w:rFonts w:hint="eastAsia"/>
                <w:spacing w:val="7"/>
                <w:kern w:val="0"/>
                <w:lang w:val="en-US" w:eastAsia="zh-CN"/>
              </w:rPr>
            </w:pPr>
          </w:p>
        </w:tc>
      </w:tr>
    </w:tbl>
    <w:p w14:paraId="6AD7C56E">
      <w:pPr>
        <w:spacing w:line="257" w:lineRule="auto"/>
        <w:rPr>
          <w:rFonts w:ascii="Arial" w:hAnsi="Times New Roman" w:eastAsia="宋体" w:cs="Times New Roman"/>
          <w:kern w:val="0"/>
          <w:sz w:val="21"/>
          <w:szCs w:val="20"/>
        </w:rPr>
      </w:pPr>
    </w:p>
    <w:p w14:paraId="527082EE">
      <w:pPr>
        <w:spacing w:line="360" w:lineRule="auto"/>
        <w:jc w:val="both"/>
        <w:rPr>
          <w:rFonts w:hint="eastAsia" w:ascii="Times New Roman" w:hAnsi="Times New Roman" w:eastAsia="宋体" w:cs="Times New Roman"/>
          <w:b/>
          <w:bCs/>
          <w:color w:val="auto"/>
          <w:kern w:val="0"/>
          <w:sz w:val="22"/>
          <w:szCs w:val="22"/>
          <w:highlight w:val="none"/>
          <w:lang w:val="en-US" w:eastAsia="zh-CN"/>
        </w:rPr>
      </w:pPr>
      <w:r>
        <w:rPr>
          <w:rFonts w:hint="eastAsia"/>
          <w:b/>
          <w:bCs/>
          <w:sz w:val="22"/>
          <w:szCs w:val="22"/>
          <w:lang w:eastAsia="zh-CN"/>
        </w:rPr>
        <w:t>（</w:t>
      </w:r>
      <w:r>
        <w:rPr>
          <w:rFonts w:hint="eastAsia"/>
          <w:b/>
          <w:bCs/>
          <w:sz w:val="22"/>
          <w:szCs w:val="22"/>
          <w:lang w:val="en-US" w:eastAsia="zh-CN"/>
        </w:rPr>
        <w:t>四</w:t>
      </w:r>
      <w:r>
        <w:rPr>
          <w:rFonts w:hint="eastAsia"/>
          <w:b/>
          <w:bCs/>
          <w:sz w:val="22"/>
          <w:szCs w:val="22"/>
          <w:lang w:eastAsia="zh-CN"/>
        </w:rPr>
        <w:t>）</w:t>
      </w:r>
      <w:r>
        <w:rPr>
          <w:rFonts w:hint="eastAsia" w:ascii="Times New Roman" w:hAnsi="Times New Roman" w:eastAsia="宋体" w:cs="Times New Roman"/>
          <w:b/>
          <w:bCs/>
          <w:color w:val="auto"/>
          <w:kern w:val="0"/>
          <w:sz w:val="22"/>
          <w:szCs w:val="22"/>
          <w:highlight w:val="none"/>
          <w:lang w:val="en-US" w:eastAsia="zh-CN"/>
        </w:rPr>
        <w:t>《泰顺县人民医院检验</w:t>
      </w:r>
      <w:r>
        <w:rPr>
          <w:rFonts w:ascii="Times New Roman" w:hAnsi="Times New Roman" w:eastAsia="宋体" w:cs="Times New Roman"/>
          <w:b/>
          <w:bCs/>
          <w:spacing w:val="-1"/>
          <w:kern w:val="0"/>
          <w:sz w:val="22"/>
          <w:szCs w:val="22"/>
        </w:rPr>
        <w:t>抗感染细胞功能检测</w:t>
      </w:r>
      <w:r>
        <w:rPr>
          <w:rFonts w:hint="eastAsia" w:ascii="Times New Roman" w:hAnsi="Times New Roman" w:eastAsia="宋体" w:cs="Times New Roman"/>
          <w:b/>
          <w:bCs/>
          <w:spacing w:val="-1"/>
          <w:kern w:val="0"/>
          <w:sz w:val="22"/>
          <w:szCs w:val="22"/>
          <w:lang w:eastAsia="zh-CN"/>
        </w:rPr>
        <w:t>等</w:t>
      </w:r>
      <w:r>
        <w:rPr>
          <w:rFonts w:hint="eastAsia" w:ascii="Times New Roman" w:hAnsi="Times New Roman" w:eastAsia="宋体" w:cs="Times New Roman"/>
          <w:b/>
          <w:bCs/>
          <w:color w:val="auto"/>
          <w:kern w:val="0"/>
          <w:sz w:val="22"/>
          <w:szCs w:val="22"/>
          <w:highlight w:val="none"/>
          <w:lang w:val="en-US" w:eastAsia="zh-CN"/>
        </w:rPr>
        <w:t>外送服务季度考核表》</w:t>
      </w:r>
    </w:p>
    <w:tbl>
      <w:tblPr>
        <w:tblStyle w:val="32"/>
        <w:tblW w:w="10066" w:type="dxa"/>
        <w:tblInd w:w="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4479"/>
        <w:gridCol w:w="1185"/>
        <w:gridCol w:w="1086"/>
        <w:gridCol w:w="1580"/>
      </w:tblGrid>
      <w:tr w14:paraId="6FF193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736" w:type="dxa"/>
            <w:tcBorders>
              <w:tl2br w:val="nil"/>
              <w:tr2bl w:val="nil"/>
            </w:tcBorders>
            <w:noWrap w:val="0"/>
            <w:vAlign w:val="center"/>
          </w:tcPr>
          <w:p w14:paraId="27686052">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被考评单位</w:t>
            </w:r>
          </w:p>
        </w:tc>
        <w:tc>
          <w:tcPr>
            <w:tcW w:w="4479" w:type="dxa"/>
            <w:tcBorders>
              <w:tl2br w:val="nil"/>
              <w:tr2bl w:val="nil"/>
            </w:tcBorders>
            <w:noWrap w:val="0"/>
            <w:vAlign w:val="center"/>
          </w:tcPr>
          <w:p w14:paraId="021AA6A1">
            <w:pPr>
              <w:spacing w:line="360" w:lineRule="auto"/>
              <w:jc w:val="both"/>
              <w:rPr>
                <w:rFonts w:hint="eastAsia" w:ascii="Times New Roman" w:hAnsi="Times New Roman" w:eastAsia="宋体" w:cs="Times New Roman"/>
                <w:color w:val="auto"/>
                <w:kern w:val="0"/>
                <w:sz w:val="22"/>
                <w:szCs w:val="22"/>
                <w:highlight w:val="none"/>
              </w:rPr>
            </w:pPr>
          </w:p>
        </w:tc>
        <w:tc>
          <w:tcPr>
            <w:tcW w:w="2271" w:type="dxa"/>
            <w:gridSpan w:val="2"/>
            <w:tcBorders>
              <w:tl2br w:val="nil"/>
              <w:tr2bl w:val="nil"/>
            </w:tcBorders>
            <w:noWrap w:val="0"/>
            <w:vAlign w:val="center"/>
          </w:tcPr>
          <w:p w14:paraId="30515636">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考评时间段</w:t>
            </w:r>
          </w:p>
        </w:tc>
        <w:tc>
          <w:tcPr>
            <w:tcW w:w="1580" w:type="dxa"/>
            <w:tcBorders>
              <w:tl2br w:val="nil"/>
              <w:tr2bl w:val="nil"/>
            </w:tcBorders>
            <w:noWrap w:val="0"/>
            <w:vAlign w:val="center"/>
          </w:tcPr>
          <w:p w14:paraId="4729712C">
            <w:pPr>
              <w:spacing w:line="360" w:lineRule="auto"/>
              <w:jc w:val="both"/>
              <w:rPr>
                <w:rFonts w:hint="eastAsia" w:ascii="Times New Roman" w:hAnsi="Times New Roman" w:eastAsia="宋体" w:cs="Times New Roman"/>
                <w:color w:val="auto"/>
                <w:kern w:val="0"/>
                <w:sz w:val="22"/>
                <w:szCs w:val="22"/>
                <w:highlight w:val="none"/>
              </w:rPr>
            </w:pPr>
          </w:p>
        </w:tc>
      </w:tr>
      <w:tr w14:paraId="0DAFE2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l2br w:val="nil"/>
              <w:tr2bl w:val="nil"/>
            </w:tcBorders>
            <w:noWrap w:val="0"/>
            <w:vAlign w:val="center"/>
          </w:tcPr>
          <w:p w14:paraId="385C599B">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考评人</w:t>
            </w:r>
          </w:p>
        </w:tc>
        <w:tc>
          <w:tcPr>
            <w:tcW w:w="4479" w:type="dxa"/>
            <w:tcBorders>
              <w:tl2br w:val="nil"/>
              <w:tr2bl w:val="nil"/>
            </w:tcBorders>
            <w:noWrap w:val="0"/>
            <w:vAlign w:val="center"/>
          </w:tcPr>
          <w:p w14:paraId="614C5AA7">
            <w:pPr>
              <w:spacing w:line="360" w:lineRule="auto"/>
              <w:jc w:val="both"/>
              <w:rPr>
                <w:rFonts w:hint="eastAsia" w:ascii="Times New Roman" w:hAnsi="Times New Roman" w:eastAsia="宋体" w:cs="Times New Roman"/>
                <w:color w:val="auto"/>
                <w:kern w:val="0"/>
                <w:sz w:val="22"/>
                <w:szCs w:val="22"/>
                <w:highlight w:val="none"/>
              </w:rPr>
            </w:pPr>
          </w:p>
        </w:tc>
        <w:tc>
          <w:tcPr>
            <w:tcW w:w="2271" w:type="dxa"/>
            <w:gridSpan w:val="2"/>
            <w:tcBorders>
              <w:tl2br w:val="nil"/>
              <w:tr2bl w:val="nil"/>
            </w:tcBorders>
            <w:noWrap w:val="0"/>
            <w:vAlign w:val="center"/>
          </w:tcPr>
          <w:p w14:paraId="7AEC464C">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填表时间</w:t>
            </w:r>
          </w:p>
        </w:tc>
        <w:tc>
          <w:tcPr>
            <w:tcW w:w="1580" w:type="dxa"/>
            <w:tcBorders>
              <w:tl2br w:val="nil"/>
              <w:tr2bl w:val="nil"/>
            </w:tcBorders>
            <w:noWrap w:val="0"/>
            <w:vAlign w:val="center"/>
          </w:tcPr>
          <w:p w14:paraId="012466EB">
            <w:pPr>
              <w:spacing w:line="360" w:lineRule="auto"/>
              <w:jc w:val="both"/>
              <w:rPr>
                <w:rFonts w:hint="eastAsia" w:ascii="Times New Roman" w:hAnsi="Times New Roman" w:eastAsia="宋体" w:cs="Times New Roman"/>
                <w:color w:val="auto"/>
                <w:kern w:val="0"/>
                <w:sz w:val="22"/>
                <w:szCs w:val="22"/>
                <w:highlight w:val="none"/>
              </w:rPr>
            </w:pPr>
          </w:p>
        </w:tc>
      </w:tr>
      <w:tr w14:paraId="1D2E7A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215" w:type="dxa"/>
            <w:gridSpan w:val="2"/>
            <w:tcBorders>
              <w:tl2br w:val="nil"/>
              <w:tr2bl w:val="nil"/>
            </w:tcBorders>
            <w:noWrap w:val="0"/>
            <w:vAlign w:val="center"/>
          </w:tcPr>
          <w:p w14:paraId="5DD32F2B">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考核项目和考核内容</w:t>
            </w:r>
          </w:p>
        </w:tc>
        <w:tc>
          <w:tcPr>
            <w:tcW w:w="1185" w:type="dxa"/>
            <w:tcBorders>
              <w:tl2br w:val="nil"/>
              <w:tr2bl w:val="nil"/>
            </w:tcBorders>
            <w:noWrap w:val="0"/>
            <w:vAlign w:val="center"/>
          </w:tcPr>
          <w:p w14:paraId="73FD93FF">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配分</w:t>
            </w:r>
          </w:p>
        </w:tc>
        <w:tc>
          <w:tcPr>
            <w:tcW w:w="1086" w:type="dxa"/>
            <w:tcBorders>
              <w:tl2br w:val="nil"/>
              <w:tr2bl w:val="nil"/>
            </w:tcBorders>
            <w:noWrap w:val="0"/>
            <w:vAlign w:val="center"/>
          </w:tcPr>
          <w:p w14:paraId="43A7D687">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考评得分</w:t>
            </w:r>
          </w:p>
        </w:tc>
        <w:tc>
          <w:tcPr>
            <w:tcW w:w="1580" w:type="dxa"/>
            <w:tcBorders>
              <w:tl2br w:val="nil"/>
              <w:tr2bl w:val="nil"/>
            </w:tcBorders>
            <w:noWrap/>
            <w:vAlign w:val="center"/>
          </w:tcPr>
          <w:p w14:paraId="6F2AAB94">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备注</w:t>
            </w:r>
          </w:p>
        </w:tc>
      </w:tr>
      <w:tr w14:paraId="79561B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l2br w:val="nil"/>
              <w:tr2bl w:val="nil"/>
            </w:tcBorders>
            <w:noWrap w:val="0"/>
            <w:vAlign w:val="center"/>
          </w:tcPr>
          <w:p w14:paraId="349C3013">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总体评价</w:t>
            </w:r>
          </w:p>
        </w:tc>
        <w:tc>
          <w:tcPr>
            <w:tcW w:w="4479" w:type="dxa"/>
            <w:tcBorders>
              <w:tl2br w:val="nil"/>
              <w:tr2bl w:val="nil"/>
            </w:tcBorders>
            <w:noWrap w:val="0"/>
            <w:vAlign w:val="center"/>
          </w:tcPr>
          <w:p w14:paraId="18D8ACA1">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外送检验总体满意度</w:t>
            </w:r>
          </w:p>
        </w:tc>
        <w:tc>
          <w:tcPr>
            <w:tcW w:w="1185" w:type="dxa"/>
            <w:tcBorders>
              <w:tl2br w:val="nil"/>
              <w:tr2bl w:val="nil"/>
            </w:tcBorders>
            <w:noWrap w:val="0"/>
            <w:vAlign w:val="center"/>
          </w:tcPr>
          <w:p w14:paraId="42F130E1">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05B02822">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7108AE01">
            <w:pPr>
              <w:spacing w:line="360" w:lineRule="auto"/>
              <w:jc w:val="both"/>
              <w:rPr>
                <w:rFonts w:hint="eastAsia" w:ascii="Times New Roman" w:hAnsi="Times New Roman" w:eastAsia="宋体" w:cs="Times New Roman"/>
                <w:color w:val="auto"/>
                <w:kern w:val="0"/>
                <w:sz w:val="22"/>
                <w:szCs w:val="22"/>
                <w:highlight w:val="none"/>
              </w:rPr>
            </w:pPr>
          </w:p>
        </w:tc>
      </w:tr>
      <w:tr w14:paraId="4A988E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tcBorders>
              <w:tl2br w:val="nil"/>
              <w:tr2bl w:val="nil"/>
            </w:tcBorders>
            <w:noWrap w:val="0"/>
            <w:vAlign w:val="center"/>
          </w:tcPr>
          <w:p w14:paraId="52DF45A5">
            <w:pPr>
              <w:spacing w:line="360" w:lineRule="auto"/>
              <w:jc w:val="both"/>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rPr>
              <w:t>检验项目</w:t>
            </w:r>
            <w:r>
              <w:rPr>
                <w:rFonts w:hint="eastAsia" w:ascii="Times New Roman" w:hAnsi="Times New Roman" w:eastAsia="宋体" w:cs="Times New Roman"/>
                <w:color w:val="auto"/>
                <w:kern w:val="0"/>
                <w:sz w:val="22"/>
                <w:szCs w:val="22"/>
                <w:highlight w:val="none"/>
                <w:lang w:eastAsia="zh-CN"/>
              </w:rPr>
              <w:t>管理</w:t>
            </w:r>
          </w:p>
        </w:tc>
        <w:tc>
          <w:tcPr>
            <w:tcW w:w="4479" w:type="dxa"/>
            <w:tcBorders>
              <w:tl2br w:val="nil"/>
              <w:tr2bl w:val="nil"/>
            </w:tcBorders>
            <w:noWrap w:val="0"/>
            <w:vAlign w:val="center"/>
          </w:tcPr>
          <w:p w14:paraId="399FE477">
            <w:pPr>
              <w:spacing w:line="360" w:lineRule="auto"/>
              <w:jc w:val="both"/>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lang w:eastAsia="zh-CN"/>
              </w:rPr>
              <w:t>质谱方法的验证文件（</w:t>
            </w:r>
            <w:r>
              <w:rPr>
                <w:rFonts w:hint="eastAsia" w:ascii="Times New Roman" w:hAnsi="Times New Roman" w:eastAsia="宋体" w:cs="Times New Roman"/>
                <w:color w:val="auto"/>
                <w:kern w:val="0"/>
                <w:sz w:val="22"/>
                <w:szCs w:val="22"/>
                <w:highlight w:val="none"/>
                <w:lang w:val="en-US" w:eastAsia="zh-CN"/>
              </w:rPr>
              <w:t>LOD/LQD、线性范围、精密度等</w:t>
            </w:r>
            <w:r>
              <w:rPr>
                <w:rFonts w:hint="eastAsia" w:ascii="Times New Roman" w:hAnsi="Times New Roman" w:eastAsia="宋体" w:cs="Times New Roman"/>
                <w:color w:val="auto"/>
                <w:kern w:val="0"/>
                <w:sz w:val="22"/>
                <w:szCs w:val="22"/>
                <w:highlight w:val="none"/>
                <w:lang w:eastAsia="zh-CN"/>
              </w:rPr>
              <w:t>）</w:t>
            </w:r>
          </w:p>
        </w:tc>
        <w:tc>
          <w:tcPr>
            <w:tcW w:w="1185" w:type="dxa"/>
            <w:tcBorders>
              <w:tl2br w:val="nil"/>
              <w:tr2bl w:val="nil"/>
            </w:tcBorders>
            <w:noWrap w:val="0"/>
            <w:vAlign w:val="center"/>
          </w:tcPr>
          <w:p w14:paraId="64CA6D85">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00F46FE3">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79E8CD0A">
            <w:pPr>
              <w:spacing w:line="360" w:lineRule="auto"/>
              <w:jc w:val="both"/>
              <w:rPr>
                <w:rFonts w:hint="eastAsia" w:ascii="Times New Roman" w:hAnsi="Times New Roman" w:eastAsia="宋体" w:cs="Times New Roman"/>
                <w:color w:val="auto"/>
                <w:kern w:val="0"/>
                <w:sz w:val="22"/>
                <w:szCs w:val="22"/>
                <w:highlight w:val="none"/>
              </w:rPr>
            </w:pPr>
          </w:p>
        </w:tc>
      </w:tr>
      <w:tr w14:paraId="37663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3763461E">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0C2D6A66">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检验项目套餐</w:t>
            </w:r>
            <w:r>
              <w:rPr>
                <w:rFonts w:hint="eastAsia" w:ascii="Times New Roman" w:hAnsi="Times New Roman" w:eastAsia="宋体" w:cs="Times New Roman"/>
                <w:color w:val="auto"/>
                <w:kern w:val="0"/>
                <w:sz w:val="22"/>
                <w:szCs w:val="22"/>
                <w:highlight w:val="none"/>
                <w:lang w:eastAsia="zh-CN"/>
              </w:rPr>
              <w:t>设计</w:t>
            </w:r>
            <w:r>
              <w:rPr>
                <w:rFonts w:hint="eastAsia" w:ascii="Times New Roman" w:hAnsi="Times New Roman" w:eastAsia="宋体" w:cs="Times New Roman"/>
                <w:color w:val="auto"/>
                <w:kern w:val="0"/>
                <w:sz w:val="22"/>
                <w:szCs w:val="22"/>
                <w:highlight w:val="none"/>
              </w:rPr>
              <w:t>对疾病诊断的适用性</w:t>
            </w:r>
          </w:p>
        </w:tc>
        <w:tc>
          <w:tcPr>
            <w:tcW w:w="1185" w:type="dxa"/>
            <w:tcBorders>
              <w:tl2br w:val="nil"/>
              <w:tr2bl w:val="nil"/>
            </w:tcBorders>
            <w:noWrap w:val="0"/>
            <w:vAlign w:val="center"/>
          </w:tcPr>
          <w:p w14:paraId="74F58641">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70365139">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6C4650B0">
            <w:pPr>
              <w:spacing w:line="360" w:lineRule="auto"/>
              <w:jc w:val="both"/>
              <w:rPr>
                <w:rFonts w:hint="eastAsia" w:ascii="Times New Roman" w:hAnsi="Times New Roman" w:eastAsia="宋体" w:cs="Times New Roman"/>
                <w:color w:val="auto"/>
                <w:kern w:val="0"/>
                <w:sz w:val="22"/>
                <w:szCs w:val="22"/>
                <w:highlight w:val="none"/>
              </w:rPr>
            </w:pPr>
          </w:p>
        </w:tc>
      </w:tr>
      <w:tr w14:paraId="2373E3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5EBEE2AD">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186FD6EB">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检验项目试剂、仪器变更信息获取的及时性</w:t>
            </w:r>
          </w:p>
        </w:tc>
        <w:tc>
          <w:tcPr>
            <w:tcW w:w="1185" w:type="dxa"/>
            <w:tcBorders>
              <w:tl2br w:val="nil"/>
              <w:tr2bl w:val="nil"/>
            </w:tcBorders>
            <w:noWrap w:val="0"/>
            <w:vAlign w:val="center"/>
          </w:tcPr>
          <w:p w14:paraId="67ED5985">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26C8EE84">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57D72E60">
            <w:pPr>
              <w:spacing w:line="360" w:lineRule="auto"/>
              <w:jc w:val="both"/>
              <w:rPr>
                <w:rFonts w:hint="eastAsia" w:ascii="Times New Roman" w:hAnsi="Times New Roman" w:eastAsia="宋体" w:cs="Times New Roman"/>
                <w:color w:val="auto"/>
                <w:kern w:val="0"/>
                <w:sz w:val="22"/>
                <w:szCs w:val="22"/>
                <w:highlight w:val="none"/>
              </w:rPr>
            </w:pPr>
          </w:p>
        </w:tc>
      </w:tr>
      <w:tr w14:paraId="5AC5B5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tcBorders>
              <w:tl2br w:val="nil"/>
              <w:tr2bl w:val="nil"/>
            </w:tcBorders>
            <w:noWrap w:val="0"/>
            <w:vAlign w:val="center"/>
          </w:tcPr>
          <w:p w14:paraId="44617B48">
            <w:pPr>
              <w:spacing w:line="360" w:lineRule="auto"/>
              <w:jc w:val="both"/>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rPr>
              <w:t>检验结果</w:t>
            </w:r>
            <w:r>
              <w:rPr>
                <w:rFonts w:hint="eastAsia" w:ascii="Times New Roman" w:hAnsi="Times New Roman" w:eastAsia="宋体" w:cs="Times New Roman"/>
                <w:color w:val="auto"/>
                <w:kern w:val="0"/>
                <w:sz w:val="22"/>
                <w:szCs w:val="22"/>
                <w:highlight w:val="none"/>
                <w:lang w:eastAsia="zh-CN"/>
              </w:rPr>
              <w:t>质量</w:t>
            </w:r>
          </w:p>
        </w:tc>
        <w:tc>
          <w:tcPr>
            <w:tcW w:w="4479" w:type="dxa"/>
            <w:tcBorders>
              <w:tl2br w:val="nil"/>
              <w:tr2bl w:val="nil"/>
            </w:tcBorders>
            <w:noWrap w:val="0"/>
            <w:vAlign w:val="center"/>
          </w:tcPr>
          <w:p w14:paraId="1A96641D">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出具检验结果的及时性</w:t>
            </w:r>
          </w:p>
        </w:tc>
        <w:tc>
          <w:tcPr>
            <w:tcW w:w="1185" w:type="dxa"/>
            <w:tcBorders>
              <w:tl2br w:val="nil"/>
              <w:tr2bl w:val="nil"/>
            </w:tcBorders>
            <w:noWrap w:val="0"/>
            <w:vAlign w:val="center"/>
          </w:tcPr>
          <w:p w14:paraId="186D1287">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10</w:t>
            </w:r>
          </w:p>
        </w:tc>
        <w:tc>
          <w:tcPr>
            <w:tcW w:w="1086" w:type="dxa"/>
            <w:tcBorders>
              <w:tl2br w:val="nil"/>
              <w:tr2bl w:val="nil"/>
            </w:tcBorders>
            <w:noWrap w:val="0"/>
            <w:vAlign w:val="center"/>
          </w:tcPr>
          <w:p w14:paraId="02A5C0BF">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35169FB2">
            <w:pPr>
              <w:spacing w:line="360" w:lineRule="auto"/>
              <w:jc w:val="both"/>
              <w:rPr>
                <w:rFonts w:hint="eastAsia" w:ascii="Times New Roman" w:hAnsi="Times New Roman" w:eastAsia="宋体" w:cs="Times New Roman"/>
                <w:color w:val="auto"/>
                <w:kern w:val="0"/>
                <w:sz w:val="22"/>
                <w:szCs w:val="22"/>
                <w:highlight w:val="none"/>
              </w:rPr>
            </w:pPr>
          </w:p>
        </w:tc>
      </w:tr>
      <w:tr w14:paraId="720B97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6" w:type="dxa"/>
            <w:vMerge w:val="continue"/>
            <w:tcBorders>
              <w:tl2br w:val="nil"/>
              <w:tr2bl w:val="nil"/>
            </w:tcBorders>
            <w:noWrap w:val="0"/>
            <w:vAlign w:val="center"/>
          </w:tcPr>
          <w:p w14:paraId="455D1084">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4635487D">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结果的准确性、可靠性（</w:t>
            </w:r>
            <w:r>
              <w:rPr>
                <w:rFonts w:ascii="Times New Roman" w:hAnsi="Times New Roman" w:eastAsia="宋体" w:cs="Times New Roman"/>
                <w:color w:val="auto"/>
                <w:kern w:val="0"/>
                <w:sz w:val="22"/>
                <w:szCs w:val="22"/>
                <w:highlight w:val="none"/>
              </w:rPr>
              <w:t>含室间质评结果评价）</w:t>
            </w:r>
          </w:p>
        </w:tc>
        <w:tc>
          <w:tcPr>
            <w:tcW w:w="1185" w:type="dxa"/>
            <w:tcBorders>
              <w:tl2br w:val="nil"/>
              <w:tr2bl w:val="nil"/>
            </w:tcBorders>
            <w:noWrap w:val="0"/>
            <w:vAlign w:val="center"/>
          </w:tcPr>
          <w:p w14:paraId="63F7544B">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10</w:t>
            </w:r>
          </w:p>
        </w:tc>
        <w:tc>
          <w:tcPr>
            <w:tcW w:w="1086" w:type="dxa"/>
            <w:tcBorders>
              <w:tl2br w:val="nil"/>
              <w:tr2bl w:val="nil"/>
            </w:tcBorders>
            <w:noWrap w:val="0"/>
            <w:vAlign w:val="center"/>
          </w:tcPr>
          <w:p w14:paraId="48664C0B">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3554EA60">
            <w:pPr>
              <w:spacing w:line="360" w:lineRule="auto"/>
              <w:jc w:val="both"/>
              <w:rPr>
                <w:rFonts w:hint="eastAsia" w:ascii="Times New Roman" w:hAnsi="Times New Roman" w:eastAsia="宋体" w:cs="Times New Roman"/>
                <w:color w:val="auto"/>
                <w:kern w:val="0"/>
                <w:sz w:val="22"/>
                <w:szCs w:val="22"/>
                <w:highlight w:val="none"/>
              </w:rPr>
            </w:pPr>
          </w:p>
        </w:tc>
      </w:tr>
      <w:tr w14:paraId="07513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555C5B04">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060A9E21">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结果获取途径的便捷性</w:t>
            </w:r>
          </w:p>
        </w:tc>
        <w:tc>
          <w:tcPr>
            <w:tcW w:w="1185" w:type="dxa"/>
            <w:tcBorders>
              <w:tl2br w:val="nil"/>
              <w:tr2bl w:val="nil"/>
            </w:tcBorders>
            <w:noWrap w:val="0"/>
            <w:vAlign w:val="center"/>
          </w:tcPr>
          <w:p w14:paraId="4560F8A9">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679D9AA2">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5DE1330A">
            <w:pPr>
              <w:spacing w:line="360" w:lineRule="auto"/>
              <w:jc w:val="both"/>
              <w:rPr>
                <w:rFonts w:hint="eastAsia" w:ascii="Times New Roman" w:hAnsi="Times New Roman" w:eastAsia="宋体" w:cs="Times New Roman"/>
                <w:color w:val="auto"/>
                <w:kern w:val="0"/>
                <w:sz w:val="22"/>
                <w:szCs w:val="22"/>
                <w:highlight w:val="none"/>
              </w:rPr>
            </w:pPr>
          </w:p>
        </w:tc>
      </w:tr>
      <w:tr w14:paraId="347CAE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798FC21A">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0B012312">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标本异常、结果迟发、结果退单等情况告知的及时性</w:t>
            </w:r>
          </w:p>
        </w:tc>
        <w:tc>
          <w:tcPr>
            <w:tcW w:w="1185" w:type="dxa"/>
            <w:tcBorders>
              <w:tl2br w:val="nil"/>
              <w:tr2bl w:val="nil"/>
            </w:tcBorders>
            <w:noWrap w:val="0"/>
            <w:vAlign w:val="center"/>
          </w:tcPr>
          <w:p w14:paraId="084A6D7F">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4C75EAEC">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0A36CD5C">
            <w:pPr>
              <w:spacing w:line="360" w:lineRule="auto"/>
              <w:jc w:val="both"/>
              <w:rPr>
                <w:rFonts w:hint="eastAsia" w:ascii="Times New Roman" w:hAnsi="Times New Roman" w:eastAsia="宋体" w:cs="Times New Roman"/>
                <w:color w:val="auto"/>
                <w:kern w:val="0"/>
                <w:sz w:val="22"/>
                <w:szCs w:val="22"/>
                <w:highlight w:val="none"/>
              </w:rPr>
            </w:pPr>
          </w:p>
        </w:tc>
      </w:tr>
      <w:tr w14:paraId="2DCD46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394A9B35">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62C7482E">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危急值告知的及时性</w:t>
            </w:r>
          </w:p>
        </w:tc>
        <w:tc>
          <w:tcPr>
            <w:tcW w:w="1185" w:type="dxa"/>
            <w:tcBorders>
              <w:tl2br w:val="nil"/>
              <w:tr2bl w:val="nil"/>
            </w:tcBorders>
            <w:noWrap w:val="0"/>
            <w:vAlign w:val="center"/>
          </w:tcPr>
          <w:p w14:paraId="7A877C92">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677B0F60">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633C0AB0">
            <w:pPr>
              <w:spacing w:line="360" w:lineRule="auto"/>
              <w:jc w:val="both"/>
              <w:rPr>
                <w:rFonts w:hint="eastAsia" w:ascii="Times New Roman" w:hAnsi="Times New Roman" w:eastAsia="宋体" w:cs="Times New Roman"/>
                <w:color w:val="auto"/>
                <w:kern w:val="0"/>
                <w:sz w:val="22"/>
                <w:szCs w:val="22"/>
                <w:highlight w:val="none"/>
              </w:rPr>
            </w:pPr>
          </w:p>
        </w:tc>
      </w:tr>
      <w:tr w14:paraId="0E3C42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13FA7C71">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32315EDF">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室内质控设置及失控处置记录（每月汇总）</w:t>
            </w:r>
          </w:p>
        </w:tc>
        <w:tc>
          <w:tcPr>
            <w:tcW w:w="1185" w:type="dxa"/>
            <w:tcBorders>
              <w:tl2br w:val="nil"/>
              <w:tr2bl w:val="nil"/>
            </w:tcBorders>
            <w:noWrap w:val="0"/>
            <w:vAlign w:val="center"/>
          </w:tcPr>
          <w:p w14:paraId="7E5CBB43">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4987AD37">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1ED817D6">
            <w:pPr>
              <w:spacing w:line="360" w:lineRule="auto"/>
              <w:jc w:val="both"/>
              <w:rPr>
                <w:rFonts w:hint="eastAsia" w:ascii="Times New Roman" w:hAnsi="Times New Roman" w:eastAsia="宋体" w:cs="Times New Roman"/>
                <w:color w:val="auto"/>
                <w:kern w:val="0"/>
                <w:sz w:val="22"/>
                <w:szCs w:val="22"/>
                <w:highlight w:val="none"/>
              </w:rPr>
            </w:pPr>
          </w:p>
        </w:tc>
      </w:tr>
      <w:tr w14:paraId="7FA089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tcBorders>
              <w:tl2br w:val="nil"/>
              <w:tr2bl w:val="nil"/>
            </w:tcBorders>
            <w:noWrap w:val="0"/>
            <w:vAlign w:val="center"/>
          </w:tcPr>
          <w:p w14:paraId="6716792C">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营销及客</w:t>
            </w:r>
            <w:r>
              <w:rPr>
                <w:rFonts w:hint="eastAsia" w:ascii="Times New Roman" w:hAnsi="Times New Roman" w:eastAsia="宋体" w:cs="Times New Roman"/>
                <w:color w:val="auto"/>
                <w:kern w:val="0"/>
                <w:sz w:val="22"/>
                <w:szCs w:val="22"/>
                <w:highlight w:val="none"/>
                <w:lang w:eastAsia="zh-CN"/>
              </w:rPr>
              <w:t>服</w:t>
            </w:r>
            <w:r>
              <w:rPr>
                <w:rFonts w:hint="eastAsia" w:ascii="Times New Roman" w:hAnsi="Times New Roman" w:eastAsia="宋体" w:cs="Times New Roman"/>
                <w:color w:val="auto"/>
                <w:kern w:val="0"/>
                <w:sz w:val="22"/>
                <w:szCs w:val="22"/>
                <w:highlight w:val="none"/>
              </w:rPr>
              <w:t>服务</w:t>
            </w:r>
          </w:p>
        </w:tc>
        <w:tc>
          <w:tcPr>
            <w:tcW w:w="4479" w:type="dxa"/>
            <w:tcBorders>
              <w:tl2br w:val="nil"/>
              <w:tr2bl w:val="nil"/>
            </w:tcBorders>
            <w:noWrap w:val="0"/>
            <w:vAlign w:val="center"/>
          </w:tcPr>
          <w:p w14:paraId="747F666F">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检验前的开单指引</w:t>
            </w:r>
          </w:p>
        </w:tc>
        <w:tc>
          <w:tcPr>
            <w:tcW w:w="1185" w:type="dxa"/>
            <w:tcBorders>
              <w:tl2br w:val="nil"/>
              <w:tr2bl w:val="nil"/>
            </w:tcBorders>
            <w:noWrap w:val="0"/>
            <w:vAlign w:val="center"/>
          </w:tcPr>
          <w:p w14:paraId="3AA6EBA5">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75CA7579">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141C8A92">
            <w:pPr>
              <w:spacing w:line="360" w:lineRule="auto"/>
              <w:jc w:val="both"/>
              <w:rPr>
                <w:rFonts w:hint="eastAsia" w:ascii="Times New Roman" w:hAnsi="Times New Roman" w:eastAsia="宋体" w:cs="Times New Roman"/>
                <w:color w:val="auto"/>
                <w:kern w:val="0"/>
                <w:sz w:val="22"/>
                <w:szCs w:val="22"/>
                <w:highlight w:val="none"/>
              </w:rPr>
            </w:pPr>
          </w:p>
        </w:tc>
      </w:tr>
      <w:tr w14:paraId="03739E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6BADDC69">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7418EAF2">
            <w:pPr>
              <w:spacing w:line="360" w:lineRule="auto"/>
              <w:jc w:val="both"/>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lang w:eastAsia="zh-CN"/>
              </w:rPr>
              <w:t>对接人员响应速度</w:t>
            </w:r>
          </w:p>
        </w:tc>
        <w:tc>
          <w:tcPr>
            <w:tcW w:w="1185" w:type="dxa"/>
            <w:tcBorders>
              <w:tl2br w:val="nil"/>
              <w:tr2bl w:val="nil"/>
            </w:tcBorders>
            <w:noWrap w:val="0"/>
            <w:vAlign w:val="center"/>
          </w:tcPr>
          <w:p w14:paraId="06787C80">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07A261C4">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2A65B1E0">
            <w:pPr>
              <w:spacing w:line="360" w:lineRule="auto"/>
              <w:jc w:val="both"/>
              <w:rPr>
                <w:rFonts w:hint="eastAsia" w:ascii="Times New Roman" w:hAnsi="Times New Roman" w:eastAsia="宋体" w:cs="Times New Roman"/>
                <w:color w:val="auto"/>
                <w:kern w:val="0"/>
                <w:sz w:val="22"/>
                <w:szCs w:val="22"/>
                <w:highlight w:val="none"/>
              </w:rPr>
            </w:pPr>
          </w:p>
        </w:tc>
      </w:tr>
      <w:tr w14:paraId="17D0C8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14B6F463">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28296540">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医学专业水平</w:t>
            </w:r>
          </w:p>
        </w:tc>
        <w:tc>
          <w:tcPr>
            <w:tcW w:w="1185" w:type="dxa"/>
            <w:tcBorders>
              <w:tl2br w:val="nil"/>
              <w:tr2bl w:val="nil"/>
            </w:tcBorders>
            <w:noWrap w:val="0"/>
            <w:vAlign w:val="center"/>
          </w:tcPr>
          <w:p w14:paraId="4C5AC587">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08CD1AD9">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2122A8C1">
            <w:pPr>
              <w:spacing w:line="360" w:lineRule="auto"/>
              <w:jc w:val="both"/>
              <w:rPr>
                <w:rFonts w:hint="eastAsia" w:ascii="Times New Roman" w:hAnsi="Times New Roman" w:eastAsia="宋体" w:cs="Times New Roman"/>
                <w:color w:val="auto"/>
                <w:kern w:val="0"/>
                <w:sz w:val="22"/>
                <w:szCs w:val="22"/>
                <w:highlight w:val="none"/>
              </w:rPr>
            </w:pPr>
          </w:p>
        </w:tc>
      </w:tr>
      <w:tr w14:paraId="64CF75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tcBorders>
              <w:tl2br w:val="nil"/>
              <w:tr2bl w:val="nil"/>
            </w:tcBorders>
            <w:noWrap w:val="0"/>
            <w:vAlign w:val="center"/>
          </w:tcPr>
          <w:p w14:paraId="49206C0C">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物流服务</w:t>
            </w:r>
          </w:p>
        </w:tc>
        <w:tc>
          <w:tcPr>
            <w:tcW w:w="4479" w:type="dxa"/>
            <w:tcBorders>
              <w:tl2br w:val="nil"/>
              <w:tr2bl w:val="nil"/>
            </w:tcBorders>
            <w:noWrap w:val="0"/>
            <w:vAlign w:val="center"/>
          </w:tcPr>
          <w:p w14:paraId="149FBAA2">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提供耗材、标本收取的及时性</w:t>
            </w:r>
          </w:p>
        </w:tc>
        <w:tc>
          <w:tcPr>
            <w:tcW w:w="1185" w:type="dxa"/>
            <w:tcBorders>
              <w:tl2br w:val="nil"/>
              <w:tr2bl w:val="nil"/>
            </w:tcBorders>
            <w:noWrap w:val="0"/>
            <w:vAlign w:val="center"/>
          </w:tcPr>
          <w:p w14:paraId="5C1A67BA">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48043004">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45E5880C">
            <w:pPr>
              <w:spacing w:line="360" w:lineRule="auto"/>
              <w:jc w:val="both"/>
              <w:rPr>
                <w:rFonts w:hint="eastAsia" w:ascii="Times New Roman" w:hAnsi="Times New Roman" w:eastAsia="宋体" w:cs="Times New Roman"/>
                <w:color w:val="auto"/>
                <w:kern w:val="0"/>
                <w:sz w:val="22"/>
                <w:szCs w:val="22"/>
                <w:highlight w:val="none"/>
              </w:rPr>
            </w:pPr>
          </w:p>
        </w:tc>
      </w:tr>
      <w:tr w14:paraId="5FE046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5788C671">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70F2C682">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书面报告送达的及时性</w:t>
            </w:r>
          </w:p>
        </w:tc>
        <w:tc>
          <w:tcPr>
            <w:tcW w:w="1185" w:type="dxa"/>
            <w:tcBorders>
              <w:tl2br w:val="nil"/>
              <w:tr2bl w:val="nil"/>
            </w:tcBorders>
            <w:noWrap w:val="0"/>
            <w:vAlign w:val="center"/>
          </w:tcPr>
          <w:p w14:paraId="00A013BC">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053C8BBE">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63A767B8">
            <w:pPr>
              <w:spacing w:line="360" w:lineRule="auto"/>
              <w:jc w:val="both"/>
              <w:rPr>
                <w:rFonts w:hint="eastAsia" w:ascii="Times New Roman" w:hAnsi="Times New Roman" w:eastAsia="宋体" w:cs="Times New Roman"/>
                <w:color w:val="auto"/>
                <w:kern w:val="0"/>
                <w:sz w:val="22"/>
                <w:szCs w:val="22"/>
                <w:highlight w:val="none"/>
              </w:rPr>
            </w:pPr>
          </w:p>
        </w:tc>
      </w:tr>
      <w:tr w14:paraId="77560E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736" w:type="dxa"/>
            <w:vMerge w:val="continue"/>
            <w:tcBorders>
              <w:tl2br w:val="nil"/>
              <w:tr2bl w:val="nil"/>
            </w:tcBorders>
            <w:noWrap w:val="0"/>
            <w:vAlign w:val="center"/>
          </w:tcPr>
          <w:p w14:paraId="60AEB735">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48666751">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物流人员及辅助设备的专业性及合理性</w:t>
            </w:r>
          </w:p>
        </w:tc>
        <w:tc>
          <w:tcPr>
            <w:tcW w:w="1185" w:type="dxa"/>
            <w:tcBorders>
              <w:tl2br w:val="nil"/>
              <w:tr2bl w:val="nil"/>
            </w:tcBorders>
            <w:noWrap w:val="0"/>
            <w:vAlign w:val="center"/>
          </w:tcPr>
          <w:p w14:paraId="54D4F288">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0E2A0D6B">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665D9C26">
            <w:pPr>
              <w:spacing w:line="360" w:lineRule="auto"/>
              <w:jc w:val="both"/>
              <w:rPr>
                <w:rFonts w:hint="eastAsia" w:ascii="Times New Roman" w:hAnsi="Times New Roman" w:eastAsia="宋体" w:cs="Times New Roman"/>
                <w:color w:val="auto"/>
                <w:kern w:val="0"/>
                <w:sz w:val="22"/>
                <w:szCs w:val="22"/>
                <w:highlight w:val="none"/>
              </w:rPr>
            </w:pPr>
          </w:p>
        </w:tc>
      </w:tr>
      <w:tr w14:paraId="5F62EC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tcBorders>
              <w:tl2br w:val="nil"/>
              <w:tr2bl w:val="nil"/>
            </w:tcBorders>
            <w:noWrap w:val="0"/>
            <w:vAlign w:val="center"/>
          </w:tcPr>
          <w:p w14:paraId="7C00B01C">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投诉与反馈</w:t>
            </w:r>
          </w:p>
        </w:tc>
        <w:tc>
          <w:tcPr>
            <w:tcW w:w="4479" w:type="dxa"/>
            <w:tcBorders>
              <w:tl2br w:val="nil"/>
              <w:tr2bl w:val="nil"/>
            </w:tcBorders>
            <w:noWrap w:val="0"/>
            <w:vAlign w:val="center"/>
          </w:tcPr>
          <w:p w14:paraId="7C02F3C5">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投诉/抱怨处理的及时性</w:t>
            </w:r>
          </w:p>
        </w:tc>
        <w:tc>
          <w:tcPr>
            <w:tcW w:w="1185" w:type="dxa"/>
            <w:tcBorders>
              <w:tl2br w:val="nil"/>
              <w:tr2bl w:val="nil"/>
            </w:tcBorders>
            <w:noWrap w:val="0"/>
            <w:vAlign w:val="center"/>
          </w:tcPr>
          <w:p w14:paraId="65D99C5F">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23A1D748">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396E6C08">
            <w:pPr>
              <w:spacing w:line="360" w:lineRule="auto"/>
              <w:jc w:val="both"/>
              <w:rPr>
                <w:rFonts w:hint="eastAsia" w:ascii="Times New Roman" w:hAnsi="Times New Roman" w:eastAsia="宋体" w:cs="Times New Roman"/>
                <w:color w:val="auto"/>
                <w:kern w:val="0"/>
                <w:sz w:val="22"/>
                <w:szCs w:val="22"/>
                <w:highlight w:val="none"/>
              </w:rPr>
            </w:pPr>
          </w:p>
        </w:tc>
      </w:tr>
      <w:tr w14:paraId="3F5018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58E8BC4B">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5902D43F">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投诉/抱怨解决方案的满意程度</w:t>
            </w:r>
          </w:p>
        </w:tc>
        <w:tc>
          <w:tcPr>
            <w:tcW w:w="1185" w:type="dxa"/>
            <w:tcBorders>
              <w:tl2br w:val="nil"/>
              <w:tr2bl w:val="nil"/>
            </w:tcBorders>
            <w:noWrap w:val="0"/>
            <w:vAlign w:val="center"/>
          </w:tcPr>
          <w:p w14:paraId="003A3B1B">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5ED5E3F9">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09C4873C">
            <w:pPr>
              <w:spacing w:line="360" w:lineRule="auto"/>
              <w:jc w:val="both"/>
              <w:rPr>
                <w:rFonts w:hint="eastAsia" w:ascii="Times New Roman" w:hAnsi="Times New Roman" w:eastAsia="宋体" w:cs="Times New Roman"/>
                <w:color w:val="auto"/>
                <w:kern w:val="0"/>
                <w:sz w:val="22"/>
                <w:szCs w:val="22"/>
                <w:highlight w:val="none"/>
              </w:rPr>
            </w:pPr>
          </w:p>
        </w:tc>
      </w:tr>
      <w:tr w14:paraId="1393B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l2br w:val="nil"/>
              <w:tr2bl w:val="nil"/>
            </w:tcBorders>
            <w:noWrap w:val="0"/>
            <w:vAlign w:val="center"/>
          </w:tcPr>
          <w:p w14:paraId="50D4F2F0">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建议与反馈</w:t>
            </w:r>
          </w:p>
        </w:tc>
        <w:tc>
          <w:tcPr>
            <w:tcW w:w="4479" w:type="dxa"/>
            <w:tcBorders>
              <w:tl2br w:val="nil"/>
              <w:tr2bl w:val="nil"/>
            </w:tcBorders>
            <w:noWrap w:val="0"/>
            <w:vAlign w:val="center"/>
          </w:tcPr>
          <w:p w14:paraId="586C74E2">
            <w:pPr>
              <w:spacing w:line="360" w:lineRule="auto"/>
              <w:jc w:val="both"/>
              <w:rPr>
                <w:rFonts w:hint="eastAsia" w:ascii="Times New Roman" w:hAnsi="Times New Roman" w:eastAsia="宋体" w:cs="Times New Roman"/>
                <w:color w:val="auto"/>
                <w:kern w:val="0"/>
                <w:sz w:val="22"/>
                <w:szCs w:val="22"/>
                <w:highlight w:val="none"/>
              </w:rPr>
            </w:pPr>
          </w:p>
        </w:tc>
        <w:tc>
          <w:tcPr>
            <w:tcW w:w="1185" w:type="dxa"/>
            <w:tcBorders>
              <w:tl2br w:val="nil"/>
              <w:tr2bl w:val="nil"/>
            </w:tcBorders>
            <w:noWrap w:val="0"/>
            <w:vAlign w:val="center"/>
          </w:tcPr>
          <w:p w14:paraId="185257A0">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总得分</w:t>
            </w:r>
          </w:p>
        </w:tc>
        <w:tc>
          <w:tcPr>
            <w:tcW w:w="1086" w:type="dxa"/>
            <w:tcBorders>
              <w:tl2br w:val="nil"/>
              <w:tr2bl w:val="nil"/>
            </w:tcBorders>
            <w:noWrap w:val="0"/>
            <w:vAlign w:val="center"/>
          </w:tcPr>
          <w:p w14:paraId="482C5781">
            <w:pPr>
              <w:spacing w:line="360" w:lineRule="auto"/>
              <w:jc w:val="both"/>
              <w:rPr>
                <w:rFonts w:hint="eastAsia" w:ascii="Times New Roman" w:hAnsi="Times New Roman" w:eastAsia="宋体" w:cs="Times New Roman"/>
                <w:color w:val="auto"/>
                <w:kern w:val="0"/>
                <w:sz w:val="22"/>
                <w:szCs w:val="22"/>
                <w:highlight w:val="none"/>
              </w:rPr>
            </w:pPr>
          </w:p>
        </w:tc>
        <w:tc>
          <w:tcPr>
            <w:tcW w:w="1580" w:type="dxa"/>
            <w:tcBorders>
              <w:tl2br w:val="nil"/>
              <w:tr2bl w:val="nil"/>
            </w:tcBorders>
            <w:noWrap/>
            <w:vAlign w:val="center"/>
          </w:tcPr>
          <w:p w14:paraId="2838BD6D">
            <w:pPr>
              <w:spacing w:line="360" w:lineRule="auto"/>
              <w:jc w:val="both"/>
              <w:rPr>
                <w:rFonts w:hint="eastAsia" w:ascii="Times New Roman" w:hAnsi="Times New Roman" w:eastAsia="宋体" w:cs="Times New Roman"/>
                <w:color w:val="auto"/>
                <w:kern w:val="0"/>
                <w:sz w:val="22"/>
                <w:szCs w:val="22"/>
                <w:highlight w:val="none"/>
              </w:rPr>
            </w:pPr>
          </w:p>
        </w:tc>
      </w:tr>
      <w:tr w14:paraId="490E0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066" w:type="dxa"/>
            <w:gridSpan w:val="5"/>
            <w:tcBorders>
              <w:tl2br w:val="nil"/>
              <w:tr2bl w:val="nil"/>
            </w:tcBorders>
            <w:noWrap/>
            <w:vAlign w:val="center"/>
          </w:tcPr>
          <w:p w14:paraId="056A2C45">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1、每季度由检验科等相关部门予以考评打分</w:t>
            </w:r>
          </w:p>
        </w:tc>
      </w:tr>
      <w:tr w14:paraId="0FC4FD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066" w:type="dxa"/>
            <w:gridSpan w:val="5"/>
            <w:tcBorders>
              <w:tl2br w:val="nil"/>
              <w:tr2bl w:val="nil"/>
            </w:tcBorders>
            <w:noWrap/>
            <w:vAlign w:val="center"/>
          </w:tcPr>
          <w:p w14:paraId="381528CB">
            <w:pPr>
              <w:spacing w:line="360" w:lineRule="auto"/>
              <w:jc w:val="both"/>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rPr>
              <w:t>2、低于90分为不合格，两次以上不合格，停止次年合同续签</w:t>
            </w:r>
            <w:r>
              <w:rPr>
                <w:rFonts w:hint="eastAsia" w:ascii="Times New Roman" w:hAnsi="Times New Roman" w:eastAsia="宋体" w:cs="Times New Roman"/>
                <w:color w:val="auto"/>
                <w:kern w:val="0"/>
                <w:sz w:val="22"/>
                <w:szCs w:val="22"/>
                <w:highlight w:val="none"/>
                <w:lang w:eastAsia="zh-CN"/>
              </w:rPr>
              <w:t>。</w:t>
            </w:r>
          </w:p>
        </w:tc>
      </w:tr>
    </w:tbl>
    <w:p w14:paraId="2B733655">
      <w:pPr>
        <w:spacing w:before="104" w:line="219" w:lineRule="auto"/>
        <w:jc w:val="left"/>
        <w:outlineLvl w:val="0"/>
        <w:rPr>
          <w:rFonts w:hint="eastAsia" w:ascii="新宋体" w:hAnsi="新宋体" w:eastAsia="新宋体" w:cs="新宋体"/>
          <w:b/>
          <w:bCs/>
          <w:spacing w:val="-1"/>
          <w:sz w:val="22"/>
          <w:szCs w:val="22"/>
          <w:lang w:eastAsia="zh-CN"/>
        </w:rPr>
      </w:pPr>
    </w:p>
    <w:p w14:paraId="27B3C3E2">
      <w:pPr>
        <w:spacing w:before="104" w:line="219" w:lineRule="auto"/>
        <w:jc w:val="left"/>
        <w:outlineLvl w:val="0"/>
        <w:rPr>
          <w:rFonts w:hint="eastAsia" w:ascii="新宋体" w:hAnsi="新宋体" w:eastAsia="新宋体" w:cs="新宋体"/>
          <w:b/>
          <w:bCs/>
          <w:spacing w:val="-3"/>
          <w:kern w:val="0"/>
          <w:sz w:val="30"/>
          <w:szCs w:val="30"/>
          <w:lang w:eastAsia="zh-CN"/>
        </w:rPr>
      </w:pPr>
      <w:r>
        <w:rPr>
          <w:rFonts w:hint="eastAsia" w:ascii="新宋体" w:hAnsi="新宋体" w:eastAsia="新宋体" w:cs="新宋体"/>
          <w:b/>
          <w:bCs/>
          <w:spacing w:val="-1"/>
          <w:sz w:val="22"/>
          <w:szCs w:val="22"/>
          <w:lang w:eastAsia="zh-CN"/>
        </w:rPr>
        <w:t>（</w:t>
      </w:r>
      <w:r>
        <w:rPr>
          <w:rFonts w:hint="eastAsia" w:ascii="新宋体" w:hAnsi="新宋体" w:eastAsia="新宋体" w:cs="新宋体"/>
          <w:b/>
          <w:bCs/>
          <w:spacing w:val="-1"/>
          <w:sz w:val="22"/>
          <w:szCs w:val="22"/>
          <w:lang w:val="en-US" w:eastAsia="zh-CN"/>
        </w:rPr>
        <w:t>五</w:t>
      </w:r>
      <w:r>
        <w:rPr>
          <w:rFonts w:hint="eastAsia" w:ascii="新宋体" w:hAnsi="新宋体" w:eastAsia="新宋体" w:cs="新宋体"/>
          <w:b/>
          <w:bCs/>
          <w:spacing w:val="-1"/>
          <w:sz w:val="22"/>
          <w:szCs w:val="22"/>
          <w:lang w:eastAsia="zh-CN"/>
        </w:rPr>
        <w:t>）</w:t>
      </w:r>
      <w:r>
        <w:rPr>
          <w:rFonts w:ascii="新宋体" w:hAnsi="新宋体" w:eastAsia="新宋体" w:cs="新宋体"/>
          <w:b/>
          <w:bCs/>
          <w:spacing w:val="-1"/>
          <w:sz w:val="22"/>
          <w:szCs w:val="22"/>
        </w:rPr>
        <w:t>商务及其他要求</w:t>
      </w:r>
    </w:p>
    <w:tbl>
      <w:tblPr>
        <w:tblStyle w:val="53"/>
        <w:tblW w:w="10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9069"/>
      </w:tblGrid>
      <w:tr w14:paraId="76C1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015" w:type="dxa"/>
            <w:noWrap w:val="0"/>
            <w:vAlign w:val="center"/>
          </w:tcPr>
          <w:p w14:paraId="25402F3D">
            <w:pPr>
              <w:pStyle w:val="98"/>
              <w:autoSpaceDE w:val="0"/>
              <w:autoSpaceDN w:val="0"/>
              <w:spacing w:before="177"/>
              <w:jc w:val="center"/>
              <w:rPr>
                <w:rFonts w:hint="default" w:eastAsia="新宋体"/>
                <w:kern w:val="0"/>
                <w:lang w:val="en-US" w:eastAsia="zh-CN"/>
              </w:rPr>
            </w:pPr>
            <w:r>
              <w:rPr>
                <w:rFonts w:hint="eastAsia"/>
                <w:kern w:val="0"/>
                <w:lang w:val="en-US" w:eastAsia="zh-CN"/>
              </w:rPr>
              <w:t>1</w:t>
            </w:r>
          </w:p>
        </w:tc>
        <w:tc>
          <w:tcPr>
            <w:tcW w:w="9069" w:type="dxa"/>
            <w:noWrap w:val="0"/>
            <w:vAlign w:val="top"/>
          </w:tcPr>
          <w:p w14:paraId="10DA1774">
            <w:pPr>
              <w:pStyle w:val="98"/>
              <w:autoSpaceDE w:val="0"/>
              <w:autoSpaceDN w:val="0"/>
              <w:spacing w:before="177" w:line="309" w:lineRule="auto"/>
              <w:ind w:left="131" w:right="106" w:hanging="16"/>
              <w:rPr>
                <w:kern w:val="0"/>
              </w:rPr>
            </w:pPr>
            <w:r>
              <w:rPr>
                <w:spacing w:val="2"/>
                <w:kern w:val="0"/>
              </w:rPr>
              <w:t>详细列出并标明涉及本项目但不含报价中的其他费用，并对各项给予单独报价。</w:t>
            </w:r>
            <w:r>
              <w:rPr>
                <w:spacing w:val="1"/>
                <w:kern w:val="0"/>
              </w:rPr>
              <w:t>若未列</w:t>
            </w:r>
            <w:r>
              <w:rPr>
                <w:spacing w:val="-3"/>
                <w:kern w:val="0"/>
              </w:rPr>
              <w:t>出，视为包含在投标总价中。</w:t>
            </w:r>
          </w:p>
        </w:tc>
      </w:tr>
      <w:tr w14:paraId="2EA6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015" w:type="dxa"/>
            <w:noWrap w:val="0"/>
            <w:vAlign w:val="center"/>
          </w:tcPr>
          <w:p w14:paraId="33D96A15">
            <w:pPr>
              <w:pStyle w:val="98"/>
              <w:autoSpaceDE w:val="0"/>
              <w:autoSpaceDN w:val="0"/>
              <w:spacing w:before="179"/>
              <w:ind w:left="119"/>
              <w:jc w:val="center"/>
              <w:rPr>
                <w:rFonts w:hint="default" w:eastAsia="新宋体"/>
                <w:kern w:val="0"/>
                <w:lang w:val="en-US" w:eastAsia="zh-CN"/>
              </w:rPr>
            </w:pPr>
            <w:r>
              <w:rPr>
                <w:rFonts w:hint="eastAsia"/>
                <w:kern w:val="0"/>
                <w:lang w:val="en-US" w:eastAsia="zh-CN"/>
              </w:rPr>
              <w:t>2</w:t>
            </w:r>
          </w:p>
        </w:tc>
        <w:tc>
          <w:tcPr>
            <w:tcW w:w="9069" w:type="dxa"/>
            <w:noWrap w:val="0"/>
            <w:vAlign w:val="top"/>
          </w:tcPr>
          <w:p w14:paraId="5C6A4984">
            <w:pPr>
              <w:pStyle w:val="98"/>
              <w:autoSpaceDE w:val="0"/>
              <w:autoSpaceDN w:val="0"/>
              <w:spacing w:before="179" w:line="334" w:lineRule="auto"/>
              <w:ind w:left="114" w:right="106" w:hanging="1"/>
              <w:jc w:val="both"/>
              <w:rPr>
                <w:kern w:val="0"/>
              </w:rPr>
            </w:pPr>
            <w:r>
              <w:rPr>
                <w:spacing w:val="-4"/>
                <w:kern w:val="0"/>
              </w:rPr>
              <w:t>服务考核要求：报告时间延迟</w:t>
            </w:r>
            <w:r>
              <w:rPr>
                <w:spacing w:val="-30"/>
                <w:kern w:val="0"/>
              </w:rPr>
              <w:t xml:space="preserve"> </w:t>
            </w:r>
            <w:r>
              <w:rPr>
                <w:spacing w:val="-4"/>
                <w:kern w:val="0"/>
              </w:rPr>
              <w:t>1</w:t>
            </w:r>
            <w:r>
              <w:rPr>
                <w:spacing w:val="-44"/>
                <w:kern w:val="0"/>
              </w:rPr>
              <w:t xml:space="preserve"> </w:t>
            </w:r>
            <w:r>
              <w:rPr>
                <w:spacing w:val="-4"/>
                <w:kern w:val="0"/>
              </w:rPr>
              <w:t>天扣检测服务费的</w:t>
            </w:r>
            <w:r>
              <w:rPr>
                <w:spacing w:val="-42"/>
                <w:kern w:val="0"/>
              </w:rPr>
              <w:t xml:space="preserve"> </w:t>
            </w:r>
            <w:r>
              <w:rPr>
                <w:spacing w:val="-4"/>
                <w:kern w:val="0"/>
              </w:rPr>
              <w:t>50%，延迟</w:t>
            </w:r>
            <w:r>
              <w:rPr>
                <w:spacing w:val="-44"/>
                <w:kern w:val="0"/>
              </w:rPr>
              <w:t xml:space="preserve"> </w:t>
            </w:r>
            <w:r>
              <w:rPr>
                <w:spacing w:val="-4"/>
                <w:kern w:val="0"/>
              </w:rPr>
              <w:t>2</w:t>
            </w:r>
            <w:r>
              <w:rPr>
                <w:spacing w:val="-44"/>
                <w:kern w:val="0"/>
              </w:rPr>
              <w:t xml:space="preserve"> </w:t>
            </w:r>
            <w:r>
              <w:rPr>
                <w:spacing w:val="-4"/>
                <w:kern w:val="0"/>
              </w:rPr>
              <w:t>天检验单位收取的检测服</w:t>
            </w:r>
            <w:r>
              <w:rPr>
                <w:spacing w:val="2"/>
                <w:kern w:val="0"/>
              </w:rPr>
              <w:t>务费全部扣除，如造成投诉纠纷需承担相应责任。五次以上延迟报告的，院方有权</w:t>
            </w:r>
            <w:r>
              <w:rPr>
                <w:spacing w:val="1"/>
                <w:kern w:val="0"/>
              </w:rPr>
              <w:t>利提</w:t>
            </w:r>
            <w:r>
              <w:rPr>
                <w:spacing w:val="-2"/>
                <w:kern w:val="0"/>
              </w:rPr>
              <w:t>前解除合同。</w:t>
            </w:r>
          </w:p>
        </w:tc>
      </w:tr>
      <w:tr w14:paraId="24DF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015" w:type="dxa"/>
            <w:noWrap w:val="0"/>
            <w:vAlign w:val="center"/>
          </w:tcPr>
          <w:p w14:paraId="73490658">
            <w:pPr>
              <w:pStyle w:val="98"/>
              <w:autoSpaceDE w:val="0"/>
              <w:autoSpaceDN w:val="0"/>
              <w:spacing w:before="180"/>
              <w:ind w:left="119"/>
              <w:jc w:val="center"/>
              <w:rPr>
                <w:rFonts w:hint="eastAsia" w:eastAsia="新宋体"/>
                <w:kern w:val="0"/>
                <w:lang w:val="en-US" w:eastAsia="zh-CN"/>
              </w:rPr>
            </w:pPr>
            <w:r>
              <w:rPr>
                <w:rFonts w:hint="eastAsia"/>
                <w:kern w:val="0"/>
                <w:lang w:val="en-US" w:eastAsia="zh-CN"/>
              </w:rPr>
              <w:t>3</w:t>
            </w:r>
          </w:p>
        </w:tc>
        <w:tc>
          <w:tcPr>
            <w:tcW w:w="9069" w:type="dxa"/>
            <w:noWrap w:val="0"/>
            <w:vAlign w:val="top"/>
          </w:tcPr>
          <w:p w14:paraId="47901338">
            <w:pPr>
              <w:pStyle w:val="98"/>
              <w:autoSpaceDE w:val="0"/>
              <w:autoSpaceDN w:val="0"/>
              <w:spacing w:before="179" w:line="308" w:lineRule="auto"/>
              <w:ind w:left="114" w:right="109" w:firstLine="12"/>
              <w:rPr>
                <w:kern w:val="0"/>
              </w:rPr>
            </w:pPr>
            <w:r>
              <w:rPr>
                <w:spacing w:val="2"/>
                <w:kern w:val="0"/>
              </w:rPr>
              <w:t>当招标人对投标人实验室的检验结果有疑义或异</w:t>
            </w:r>
            <w:r>
              <w:rPr>
                <w:spacing w:val="1"/>
                <w:kern w:val="0"/>
              </w:rPr>
              <w:t>议时，可要求投标人实验室重新检验或</w:t>
            </w:r>
            <w:r>
              <w:rPr>
                <w:spacing w:val="-1"/>
                <w:kern w:val="0"/>
              </w:rPr>
              <w:t>再委托第三方检验。这种情况下所发生的费用，由责任方承担。</w:t>
            </w:r>
          </w:p>
        </w:tc>
      </w:tr>
      <w:tr w14:paraId="26894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015" w:type="dxa"/>
            <w:noWrap w:val="0"/>
            <w:vAlign w:val="center"/>
          </w:tcPr>
          <w:p w14:paraId="17818A8C">
            <w:pPr>
              <w:pStyle w:val="98"/>
              <w:autoSpaceDE w:val="0"/>
              <w:autoSpaceDN w:val="0"/>
              <w:spacing w:before="182"/>
              <w:ind w:left="119"/>
              <w:jc w:val="center"/>
              <w:rPr>
                <w:rFonts w:hint="eastAsia" w:eastAsia="新宋体"/>
                <w:kern w:val="0"/>
                <w:lang w:val="en-US" w:eastAsia="zh-CN"/>
              </w:rPr>
            </w:pPr>
            <w:r>
              <w:rPr>
                <w:rFonts w:hint="eastAsia"/>
                <w:kern w:val="0"/>
                <w:lang w:val="en-US" w:eastAsia="zh-CN"/>
              </w:rPr>
              <w:t>4</w:t>
            </w:r>
          </w:p>
        </w:tc>
        <w:tc>
          <w:tcPr>
            <w:tcW w:w="9069" w:type="dxa"/>
            <w:noWrap w:val="0"/>
            <w:vAlign w:val="top"/>
          </w:tcPr>
          <w:p w14:paraId="579FD15B">
            <w:pPr>
              <w:pStyle w:val="98"/>
              <w:autoSpaceDE w:val="0"/>
              <w:autoSpaceDN w:val="0"/>
              <w:spacing w:before="182" w:line="307" w:lineRule="auto"/>
              <w:ind w:left="113" w:right="106" w:firstLine="3"/>
              <w:rPr>
                <w:kern w:val="0"/>
              </w:rPr>
            </w:pPr>
            <w:r>
              <w:rPr>
                <w:spacing w:val="2"/>
                <w:kern w:val="0"/>
              </w:rPr>
              <w:t>如投标人因各种规范性问题被行政监督部门惩罚，所产生的一切后果及损失，</w:t>
            </w:r>
            <w:r>
              <w:rPr>
                <w:spacing w:val="1"/>
                <w:kern w:val="0"/>
              </w:rPr>
              <w:t>由投标人</w:t>
            </w:r>
            <w:r>
              <w:rPr>
                <w:spacing w:val="-1"/>
                <w:kern w:val="0"/>
              </w:rPr>
              <w:t>承担，对招标人造成的影响及损失，投标人需进行相应的赔偿。</w:t>
            </w:r>
          </w:p>
        </w:tc>
      </w:tr>
      <w:tr w14:paraId="49FE8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1015" w:type="dxa"/>
            <w:noWrap w:val="0"/>
            <w:vAlign w:val="center"/>
          </w:tcPr>
          <w:p w14:paraId="64EFB69B">
            <w:pPr>
              <w:pStyle w:val="98"/>
              <w:autoSpaceDE w:val="0"/>
              <w:autoSpaceDN w:val="0"/>
              <w:spacing w:before="182"/>
              <w:ind w:left="119"/>
              <w:jc w:val="center"/>
              <w:rPr>
                <w:rFonts w:hint="eastAsia" w:eastAsia="新宋体"/>
                <w:kern w:val="0"/>
                <w:highlight w:val="none"/>
                <w:lang w:val="en-US" w:eastAsia="zh-CN"/>
              </w:rPr>
            </w:pPr>
            <w:r>
              <w:rPr>
                <w:rFonts w:hint="eastAsia"/>
                <w:kern w:val="0"/>
                <w:highlight w:val="none"/>
                <w:lang w:val="en-US" w:eastAsia="zh-CN"/>
              </w:rPr>
              <w:t>5</w:t>
            </w:r>
          </w:p>
        </w:tc>
        <w:tc>
          <w:tcPr>
            <w:tcW w:w="9069" w:type="dxa"/>
            <w:noWrap w:val="0"/>
            <w:vAlign w:val="top"/>
          </w:tcPr>
          <w:p w14:paraId="2BA59E6E">
            <w:pPr>
              <w:pStyle w:val="98"/>
              <w:autoSpaceDE w:val="0"/>
              <w:autoSpaceDN w:val="0"/>
              <w:spacing w:before="1" w:line="336" w:lineRule="auto"/>
              <w:ind w:left="112" w:right="106" w:firstLine="3"/>
              <w:jc w:val="both"/>
              <w:rPr>
                <w:spacing w:val="-2"/>
                <w:kern w:val="0"/>
                <w:highlight w:val="none"/>
              </w:rPr>
            </w:pPr>
            <w:r>
              <w:rPr>
                <w:spacing w:val="-1"/>
                <w:kern w:val="0"/>
                <w:highlight w:val="none"/>
              </w:rPr>
              <w:t>付款方式</w:t>
            </w:r>
            <w:r>
              <w:rPr>
                <w:rFonts w:hint="eastAsia"/>
                <w:spacing w:val="-1"/>
                <w:kern w:val="0"/>
                <w:highlight w:val="none"/>
                <w:lang w:eastAsia="zh-CN"/>
              </w:rPr>
              <w:t>：</w:t>
            </w:r>
            <w:r>
              <w:rPr>
                <w:spacing w:val="-1"/>
                <w:kern w:val="0"/>
                <w:highlight w:val="none"/>
              </w:rPr>
              <w:t>每季度结算一次，业务量的结算以结算周期内项目检测清单或外送标本登</w:t>
            </w:r>
            <w:r>
              <w:rPr>
                <w:spacing w:val="2"/>
                <w:kern w:val="0"/>
                <w:highlight w:val="none"/>
              </w:rPr>
              <w:t>记的签收记录为准，按单价与业务量的乘积作为该季度外送检验费用。每个季度结束后</w:t>
            </w:r>
            <w:r>
              <w:rPr>
                <w:spacing w:val="-2"/>
                <w:kern w:val="0"/>
                <w:highlight w:val="none"/>
              </w:rPr>
              <w:t>的次月首日起</w:t>
            </w:r>
            <w:r>
              <w:rPr>
                <w:spacing w:val="-21"/>
                <w:kern w:val="0"/>
                <w:highlight w:val="none"/>
              </w:rPr>
              <w:t xml:space="preserve"> </w:t>
            </w:r>
            <w:r>
              <w:rPr>
                <w:rFonts w:hint="eastAsia"/>
                <w:spacing w:val="-2"/>
                <w:kern w:val="0"/>
                <w:highlight w:val="none"/>
                <w:lang w:val="en-US" w:eastAsia="zh-CN"/>
              </w:rPr>
              <w:t>15</w:t>
            </w:r>
            <w:r>
              <w:rPr>
                <w:spacing w:val="-2"/>
                <w:kern w:val="0"/>
                <w:highlight w:val="none"/>
              </w:rPr>
              <w:t>个工作日内完成前一季度结算和付款。</w:t>
            </w:r>
          </w:p>
          <w:p w14:paraId="04975B56">
            <w:pPr>
              <w:pStyle w:val="98"/>
              <w:autoSpaceDE w:val="0"/>
              <w:autoSpaceDN w:val="0"/>
              <w:spacing w:before="1" w:line="336" w:lineRule="auto"/>
              <w:ind w:left="112" w:right="106" w:firstLine="3"/>
              <w:jc w:val="both"/>
              <w:rPr>
                <w:spacing w:val="-2"/>
                <w:kern w:val="0"/>
                <w:highlight w:val="none"/>
              </w:rPr>
            </w:pPr>
            <w:r>
              <w:rPr>
                <w:spacing w:val="-1"/>
                <w:kern w:val="0"/>
                <w:highlight w:val="none"/>
              </w:rPr>
              <w:t>每次付款前，卖方须提交等额发票，买方收到发票后</w:t>
            </w:r>
            <w:r>
              <w:rPr>
                <w:spacing w:val="-41"/>
                <w:kern w:val="0"/>
                <w:highlight w:val="none"/>
              </w:rPr>
              <w:t xml:space="preserve"> </w:t>
            </w:r>
            <w:r>
              <w:rPr>
                <w:rFonts w:hint="eastAsia"/>
                <w:spacing w:val="-1"/>
                <w:kern w:val="0"/>
                <w:highlight w:val="none"/>
                <w:lang w:val="en-US" w:eastAsia="zh-CN"/>
              </w:rPr>
              <w:t>90</w:t>
            </w:r>
            <w:r>
              <w:rPr>
                <w:spacing w:val="-1"/>
                <w:kern w:val="0"/>
                <w:highlight w:val="none"/>
              </w:rPr>
              <w:t>个工作日内支付。</w:t>
            </w:r>
          </w:p>
        </w:tc>
      </w:tr>
    </w:tbl>
    <w:p w14:paraId="18D5EE12">
      <w:pPr>
        <w:spacing w:before="104" w:line="219" w:lineRule="auto"/>
        <w:jc w:val="left"/>
        <w:outlineLvl w:val="0"/>
        <w:rPr>
          <w:rFonts w:hint="eastAsia" w:ascii="新宋体" w:hAnsi="新宋体" w:eastAsia="新宋体" w:cs="新宋体"/>
          <w:b/>
          <w:bCs/>
          <w:spacing w:val="-3"/>
          <w:kern w:val="0"/>
          <w:sz w:val="30"/>
          <w:szCs w:val="30"/>
          <w:lang w:eastAsia="zh-CN"/>
        </w:rPr>
      </w:pPr>
    </w:p>
    <w:p w14:paraId="04AFAFDF">
      <w:pPr>
        <w:spacing w:before="104" w:line="219" w:lineRule="auto"/>
        <w:jc w:val="left"/>
        <w:outlineLvl w:val="0"/>
        <w:rPr>
          <w:rFonts w:hint="eastAsia" w:ascii="宋体" w:hAnsi="宋体" w:eastAsia="宋体" w:cs="宋体"/>
          <w:b/>
          <w:bCs/>
          <w:spacing w:val="-3"/>
          <w:kern w:val="0"/>
          <w:sz w:val="22"/>
          <w:szCs w:val="22"/>
          <w:lang w:val="en-US" w:eastAsia="zh-CN"/>
        </w:rPr>
      </w:pPr>
      <w:r>
        <w:rPr>
          <w:rFonts w:hint="eastAsia" w:ascii="宋体" w:hAnsi="宋体" w:eastAsia="宋体" w:cs="宋体"/>
          <w:b/>
          <w:bCs/>
          <w:color w:val="auto"/>
          <w:kern w:val="0"/>
          <w:sz w:val="22"/>
          <w:szCs w:val="22"/>
          <w:highlight w:val="none"/>
          <w:u w:val="single"/>
          <w:lang w:val="en-US" w:eastAsia="zh-CN" w:bidi="ar-SA"/>
        </w:rPr>
        <w:t>标项二 抗感染细胞功能检测项目等检测项目外送</w:t>
      </w:r>
    </w:p>
    <w:p w14:paraId="1D6E7D8A">
      <w:pPr>
        <w:spacing w:before="104" w:line="219" w:lineRule="auto"/>
        <w:jc w:val="left"/>
        <w:outlineLvl w:val="0"/>
        <w:rPr>
          <w:rFonts w:hint="eastAsia" w:ascii="宋体" w:hAnsi="宋体" w:eastAsia="宋体" w:cs="宋体"/>
          <w:b/>
          <w:bCs/>
          <w:spacing w:val="-3"/>
          <w:kern w:val="0"/>
          <w:sz w:val="22"/>
          <w:szCs w:val="22"/>
          <w:lang w:eastAsia="zh-CN"/>
        </w:rPr>
      </w:pPr>
      <w:r>
        <w:rPr>
          <w:rFonts w:hint="eastAsia" w:ascii="宋体" w:hAnsi="宋体" w:eastAsia="宋体" w:cs="宋体"/>
          <w:b/>
          <w:bCs/>
          <w:spacing w:val="-3"/>
          <w:kern w:val="0"/>
          <w:sz w:val="22"/>
          <w:szCs w:val="22"/>
          <w:lang w:eastAsia="zh-CN"/>
        </w:rPr>
        <w:t>（</w:t>
      </w:r>
      <w:r>
        <w:rPr>
          <w:rFonts w:hint="eastAsia" w:ascii="宋体" w:hAnsi="宋体" w:eastAsia="宋体" w:cs="宋体"/>
          <w:b/>
          <w:bCs/>
          <w:spacing w:val="-3"/>
          <w:kern w:val="0"/>
          <w:sz w:val="22"/>
          <w:szCs w:val="22"/>
          <w:lang w:val="en-US" w:eastAsia="zh-CN"/>
        </w:rPr>
        <w:t>一</w:t>
      </w:r>
      <w:r>
        <w:rPr>
          <w:rFonts w:hint="eastAsia" w:ascii="宋体" w:hAnsi="宋体" w:eastAsia="宋体" w:cs="宋体"/>
          <w:b/>
          <w:bCs/>
          <w:spacing w:val="-3"/>
          <w:kern w:val="0"/>
          <w:sz w:val="22"/>
          <w:szCs w:val="22"/>
          <w:lang w:eastAsia="zh-CN"/>
        </w:rPr>
        <w:t>）项目概述</w:t>
      </w:r>
    </w:p>
    <w:tbl>
      <w:tblPr>
        <w:tblStyle w:val="53"/>
        <w:tblW w:w="96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8662"/>
      </w:tblGrid>
      <w:tr w14:paraId="65BF2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5" w:type="dxa"/>
            <w:noWrap w:val="0"/>
            <w:vAlign w:val="top"/>
          </w:tcPr>
          <w:p w14:paraId="449C8BB2">
            <w:pPr>
              <w:pStyle w:val="98"/>
              <w:autoSpaceDE w:val="0"/>
              <w:autoSpaceDN w:val="0"/>
              <w:spacing w:before="184" w:line="231" w:lineRule="auto"/>
              <w:ind w:left="131" w:leftChars="0"/>
              <w:jc w:val="center"/>
              <w:rPr>
                <w:kern w:val="0"/>
              </w:rPr>
            </w:pPr>
            <w:r>
              <w:rPr>
                <w:spacing w:val="-8"/>
                <w:kern w:val="0"/>
                <w:sz w:val="22"/>
                <w:szCs w:val="22"/>
              </w:rPr>
              <w:t>1</w:t>
            </w:r>
          </w:p>
        </w:tc>
        <w:tc>
          <w:tcPr>
            <w:tcW w:w="8662" w:type="dxa"/>
            <w:noWrap w:val="0"/>
            <w:vAlign w:val="top"/>
          </w:tcPr>
          <w:p w14:paraId="14DFCCEA">
            <w:pPr>
              <w:pStyle w:val="98"/>
              <w:autoSpaceDE w:val="0"/>
              <w:autoSpaceDN w:val="0"/>
              <w:spacing w:before="185" w:line="219" w:lineRule="auto"/>
              <w:ind w:left="116"/>
              <w:rPr>
                <w:kern w:val="0"/>
              </w:rPr>
            </w:pPr>
            <w:r>
              <w:rPr>
                <w:spacing w:val="-1"/>
                <w:kern w:val="0"/>
              </w:rPr>
              <w:t>项目要求：抗感染细胞功能检测</w:t>
            </w:r>
            <w:r>
              <w:rPr>
                <w:rFonts w:hint="eastAsia"/>
                <w:spacing w:val="-1"/>
                <w:kern w:val="0"/>
                <w:lang w:eastAsia="zh-CN"/>
              </w:rPr>
              <w:t>等</w:t>
            </w:r>
            <w:r>
              <w:rPr>
                <w:spacing w:val="-1"/>
                <w:kern w:val="0"/>
              </w:rPr>
              <w:t>项目委托外送项目（项目见</w:t>
            </w:r>
            <w:r>
              <w:rPr>
                <w:rFonts w:hint="eastAsia"/>
                <w:spacing w:val="-1"/>
                <w:kern w:val="0"/>
                <w:lang w:val="en-US" w:eastAsia="zh-CN"/>
              </w:rPr>
              <w:t>下表</w:t>
            </w:r>
            <w:r>
              <w:rPr>
                <w:spacing w:val="-1"/>
                <w:kern w:val="0"/>
              </w:rPr>
              <w:t>）</w:t>
            </w:r>
          </w:p>
        </w:tc>
      </w:tr>
      <w:tr w14:paraId="40B0D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5" w:type="dxa"/>
            <w:noWrap w:val="0"/>
            <w:vAlign w:val="top"/>
          </w:tcPr>
          <w:p w14:paraId="4F0694B8">
            <w:pPr>
              <w:pStyle w:val="98"/>
              <w:autoSpaceDE w:val="0"/>
              <w:autoSpaceDN w:val="0"/>
              <w:spacing w:before="185" w:line="219" w:lineRule="auto"/>
              <w:ind w:left="116" w:leftChars="0"/>
              <w:jc w:val="center"/>
              <w:rPr>
                <w:kern w:val="0"/>
              </w:rPr>
            </w:pPr>
            <w:r>
              <w:rPr>
                <w:spacing w:val="-1"/>
                <w:kern w:val="0"/>
                <w:sz w:val="22"/>
                <w:szCs w:val="22"/>
              </w:rPr>
              <w:t>2</w:t>
            </w:r>
          </w:p>
        </w:tc>
        <w:tc>
          <w:tcPr>
            <w:tcW w:w="8662" w:type="dxa"/>
            <w:noWrap w:val="0"/>
            <w:vAlign w:val="top"/>
          </w:tcPr>
          <w:p w14:paraId="68F73C51">
            <w:pPr>
              <w:pStyle w:val="98"/>
              <w:autoSpaceDE w:val="0"/>
              <w:autoSpaceDN w:val="0"/>
              <w:spacing w:before="179" w:line="308" w:lineRule="auto"/>
              <w:ind w:left="114" w:right="106" w:hanging="1"/>
              <w:rPr>
                <w:kern w:val="0"/>
              </w:rPr>
            </w:pPr>
            <w:r>
              <w:rPr>
                <w:spacing w:val="2"/>
                <w:kern w:val="0"/>
              </w:rPr>
              <w:t>服务：抗感染细胞功能检测</w:t>
            </w:r>
            <w:r>
              <w:rPr>
                <w:rFonts w:hint="eastAsia"/>
                <w:spacing w:val="-1"/>
                <w:kern w:val="0"/>
                <w:lang w:eastAsia="zh-CN"/>
              </w:rPr>
              <w:t>等</w:t>
            </w:r>
            <w:r>
              <w:rPr>
                <w:spacing w:val="-1"/>
                <w:kern w:val="0"/>
              </w:rPr>
              <w:t>项目</w:t>
            </w:r>
            <w:r>
              <w:rPr>
                <w:spacing w:val="2"/>
                <w:kern w:val="0"/>
              </w:rPr>
              <w:t>。服务包括但不限于提供运输服务，配套车辆设备，配备服</w:t>
            </w:r>
            <w:r>
              <w:rPr>
                <w:kern w:val="0"/>
              </w:rPr>
              <w:t>务人员，设备维护保养，外送标本检验检测和</w:t>
            </w:r>
            <w:r>
              <w:rPr>
                <w:spacing w:val="-1"/>
                <w:kern w:val="0"/>
              </w:rPr>
              <w:t>质量控制等全部工作。</w:t>
            </w:r>
          </w:p>
        </w:tc>
      </w:tr>
      <w:tr w14:paraId="7F760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5" w:type="dxa"/>
            <w:noWrap w:val="0"/>
            <w:vAlign w:val="top"/>
          </w:tcPr>
          <w:p w14:paraId="111BB42E">
            <w:pPr>
              <w:pStyle w:val="98"/>
              <w:autoSpaceDE w:val="0"/>
              <w:autoSpaceDN w:val="0"/>
              <w:spacing w:before="185" w:line="219" w:lineRule="auto"/>
              <w:ind w:left="116" w:leftChars="0"/>
              <w:jc w:val="center"/>
              <w:rPr>
                <w:kern w:val="0"/>
              </w:rPr>
            </w:pPr>
            <w:r>
              <w:rPr>
                <w:spacing w:val="-1"/>
                <w:kern w:val="0"/>
                <w:sz w:val="22"/>
                <w:szCs w:val="22"/>
              </w:rPr>
              <w:t>3</w:t>
            </w:r>
          </w:p>
        </w:tc>
        <w:tc>
          <w:tcPr>
            <w:tcW w:w="8662" w:type="dxa"/>
            <w:noWrap w:val="0"/>
            <w:vAlign w:val="top"/>
          </w:tcPr>
          <w:p w14:paraId="69415C7D">
            <w:pPr>
              <w:pStyle w:val="98"/>
              <w:autoSpaceDE w:val="0"/>
              <w:autoSpaceDN w:val="0"/>
              <w:spacing w:before="178" w:line="355" w:lineRule="auto"/>
              <w:ind w:left="111" w:right="106" w:firstLine="4"/>
              <w:jc w:val="both"/>
              <w:rPr>
                <w:kern w:val="0"/>
              </w:rPr>
            </w:pPr>
            <w:r>
              <w:rPr>
                <w:kern w:val="0"/>
              </w:rPr>
              <w:t>投标报价为折扣率。（</w:t>
            </w:r>
            <w:r>
              <w:rPr>
                <w:b/>
                <w:bCs/>
                <w:kern w:val="0"/>
              </w:rPr>
              <w:t>指投标人以委托外送检验项目常用清单中的医疗物价收费价格为</w:t>
            </w:r>
            <w:r>
              <w:rPr>
                <w:b/>
                <w:bCs/>
                <w:spacing w:val="1"/>
                <w:kern w:val="0"/>
              </w:rPr>
              <w:t>标准进行折扣率报价，所有的检验项目只报一个折</w:t>
            </w:r>
            <w:r>
              <w:rPr>
                <w:b/>
                <w:bCs/>
                <w:kern w:val="0"/>
              </w:rPr>
              <w:t>扣率</w:t>
            </w:r>
            <w:r>
              <w:rPr>
                <w:kern w:val="0"/>
              </w:rPr>
              <w:t>）本项目投标单价包含自投标人</w:t>
            </w:r>
            <w:r>
              <w:rPr>
                <w:spacing w:val="2"/>
                <w:kern w:val="0"/>
              </w:rPr>
              <w:t>上门接收样本至院方收到检测报告期间所产生的费用，包括但不限于检测服务费、检测报告费和其他外送标本检验等及其涉及的运费、油费、保险费、工资、水电费、设备折</w:t>
            </w:r>
            <w:r>
              <w:rPr>
                <w:spacing w:val="-1"/>
                <w:kern w:val="0"/>
              </w:rPr>
              <w:t>旧费、税费等全部费用。</w:t>
            </w:r>
          </w:p>
        </w:tc>
      </w:tr>
      <w:tr w14:paraId="69D3B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5" w:type="dxa"/>
            <w:noWrap w:val="0"/>
            <w:vAlign w:val="top"/>
          </w:tcPr>
          <w:p w14:paraId="27DA7815">
            <w:pPr>
              <w:pStyle w:val="98"/>
              <w:autoSpaceDE w:val="0"/>
              <w:autoSpaceDN w:val="0"/>
              <w:spacing w:before="185" w:line="219" w:lineRule="auto"/>
              <w:ind w:left="116" w:leftChars="0"/>
              <w:jc w:val="center"/>
              <w:rPr>
                <w:kern w:val="0"/>
              </w:rPr>
            </w:pPr>
            <w:r>
              <w:rPr>
                <w:spacing w:val="-1"/>
                <w:kern w:val="0"/>
                <w:sz w:val="22"/>
                <w:szCs w:val="22"/>
              </w:rPr>
              <w:t>4</w:t>
            </w:r>
          </w:p>
        </w:tc>
        <w:tc>
          <w:tcPr>
            <w:tcW w:w="8662" w:type="dxa"/>
            <w:noWrap w:val="0"/>
            <w:vAlign w:val="top"/>
          </w:tcPr>
          <w:p w14:paraId="688F2779">
            <w:pPr>
              <w:pStyle w:val="98"/>
              <w:autoSpaceDE w:val="0"/>
              <w:autoSpaceDN w:val="0"/>
              <w:spacing w:before="179" w:line="308" w:lineRule="auto"/>
              <w:ind w:left="114" w:right="106" w:hanging="1"/>
              <w:rPr>
                <w:kern w:val="0"/>
              </w:rPr>
            </w:pPr>
            <w:r>
              <w:rPr>
                <w:kern w:val="0"/>
              </w:rPr>
              <w:t>投标人不得对医院外送检测数量提出任何要求。</w:t>
            </w:r>
          </w:p>
        </w:tc>
      </w:tr>
      <w:tr w14:paraId="06678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5" w:type="dxa"/>
            <w:noWrap w:val="0"/>
            <w:vAlign w:val="top"/>
          </w:tcPr>
          <w:p w14:paraId="03A363E8">
            <w:pPr>
              <w:pStyle w:val="98"/>
              <w:autoSpaceDE w:val="0"/>
              <w:autoSpaceDN w:val="0"/>
              <w:spacing w:before="185" w:line="219" w:lineRule="auto"/>
              <w:ind w:left="116" w:leftChars="0"/>
              <w:jc w:val="center"/>
              <w:rPr>
                <w:kern w:val="0"/>
              </w:rPr>
            </w:pPr>
            <w:r>
              <w:rPr>
                <w:spacing w:val="-1"/>
                <w:kern w:val="0"/>
                <w:sz w:val="22"/>
                <w:szCs w:val="22"/>
              </w:rPr>
              <w:t>5</w:t>
            </w:r>
          </w:p>
        </w:tc>
        <w:tc>
          <w:tcPr>
            <w:tcW w:w="8662" w:type="dxa"/>
            <w:noWrap w:val="0"/>
            <w:vAlign w:val="top"/>
          </w:tcPr>
          <w:p w14:paraId="0B697C70">
            <w:pPr>
              <w:pStyle w:val="98"/>
              <w:autoSpaceDE w:val="0"/>
              <w:autoSpaceDN w:val="0"/>
              <w:spacing w:before="179" w:line="308" w:lineRule="auto"/>
              <w:ind w:left="114" w:right="106" w:hanging="1"/>
              <w:rPr>
                <w:kern w:val="0"/>
              </w:rPr>
            </w:pPr>
            <w:r>
              <w:rPr>
                <w:kern w:val="0"/>
              </w:rPr>
              <w:t>投标人的投标报价折扣率≤60%，否则按无效标处理。</w:t>
            </w:r>
          </w:p>
          <w:p w14:paraId="331F83C3">
            <w:pPr>
              <w:pStyle w:val="98"/>
              <w:autoSpaceDE w:val="0"/>
              <w:autoSpaceDN w:val="0"/>
              <w:spacing w:before="179" w:line="308" w:lineRule="auto"/>
              <w:ind w:left="114" w:right="106" w:hanging="1"/>
              <w:rPr>
                <w:kern w:val="0"/>
              </w:rPr>
            </w:pPr>
            <w:r>
              <w:rPr>
                <w:kern w:val="0"/>
              </w:rPr>
              <w:t>折扣率=投标人收取的费用/</w:t>
            </w:r>
            <w:r>
              <w:rPr>
                <w:rFonts w:hint="eastAsia"/>
                <w:kern w:val="0"/>
              </w:rPr>
              <w:t>温州市公立医院医疗服务收费价格标准</w:t>
            </w:r>
            <w:r>
              <w:rPr>
                <w:kern w:val="0"/>
              </w:rPr>
              <w:t>*100%。折扣率最多保留一位小数。</w:t>
            </w:r>
          </w:p>
        </w:tc>
      </w:tr>
      <w:tr w14:paraId="6FE8D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5" w:type="dxa"/>
            <w:noWrap w:val="0"/>
            <w:vAlign w:val="top"/>
          </w:tcPr>
          <w:p w14:paraId="4DB60F14">
            <w:pPr>
              <w:pStyle w:val="98"/>
              <w:autoSpaceDE w:val="0"/>
              <w:autoSpaceDN w:val="0"/>
              <w:spacing w:before="185" w:line="219" w:lineRule="auto"/>
              <w:ind w:left="116" w:leftChars="0"/>
              <w:jc w:val="center"/>
              <w:rPr>
                <w:rFonts w:hint="eastAsia" w:eastAsia="新宋体"/>
                <w:kern w:val="0"/>
                <w:lang w:eastAsia="zh-CN"/>
              </w:rPr>
            </w:pPr>
            <w:r>
              <w:rPr>
                <w:rFonts w:hint="eastAsia"/>
                <w:spacing w:val="-1"/>
                <w:kern w:val="0"/>
                <w:sz w:val="22"/>
                <w:szCs w:val="22"/>
                <w:lang w:val="en-US" w:eastAsia="zh-CN"/>
              </w:rPr>
              <w:t>6</w:t>
            </w:r>
          </w:p>
        </w:tc>
        <w:tc>
          <w:tcPr>
            <w:tcW w:w="8662" w:type="dxa"/>
            <w:noWrap w:val="0"/>
            <w:vAlign w:val="top"/>
          </w:tcPr>
          <w:p w14:paraId="5A203519">
            <w:pPr>
              <w:pStyle w:val="98"/>
              <w:autoSpaceDE w:val="0"/>
              <w:autoSpaceDN w:val="0"/>
              <w:spacing w:before="179" w:line="308" w:lineRule="auto"/>
              <w:ind w:left="114" w:right="106" w:hanging="1"/>
              <w:rPr>
                <w:kern w:val="0"/>
              </w:rPr>
            </w:pPr>
            <w:r>
              <w:rPr>
                <w:kern w:val="0"/>
              </w:rPr>
              <w:t>投标人承诺本次投标报价折扣率在合同效期内不变。如遇政策性收费标准下调，外送检验价格按下调后实际收费标准与中标报价折扣率的乘积计算。如果浙江省收费标准上调，则不上调外送服务单价（按本次中标的费率计算）。</w:t>
            </w:r>
          </w:p>
        </w:tc>
      </w:tr>
      <w:tr w14:paraId="4F17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5" w:type="dxa"/>
            <w:noWrap w:val="0"/>
            <w:vAlign w:val="top"/>
          </w:tcPr>
          <w:p w14:paraId="3675FBDA">
            <w:pPr>
              <w:pStyle w:val="98"/>
              <w:autoSpaceDE w:val="0"/>
              <w:autoSpaceDN w:val="0"/>
              <w:spacing w:before="185" w:line="219" w:lineRule="auto"/>
              <w:ind w:left="116" w:leftChars="0"/>
              <w:jc w:val="center"/>
              <w:rPr>
                <w:rFonts w:hint="eastAsia" w:eastAsia="新宋体"/>
                <w:kern w:val="0"/>
                <w:lang w:eastAsia="zh-CN"/>
              </w:rPr>
            </w:pPr>
            <w:r>
              <w:rPr>
                <w:rFonts w:hint="eastAsia"/>
                <w:spacing w:val="-1"/>
                <w:kern w:val="0"/>
                <w:sz w:val="22"/>
                <w:szCs w:val="22"/>
                <w:lang w:val="en-US" w:eastAsia="zh-CN"/>
              </w:rPr>
              <w:t>7</w:t>
            </w:r>
          </w:p>
        </w:tc>
        <w:tc>
          <w:tcPr>
            <w:tcW w:w="8662" w:type="dxa"/>
            <w:noWrap w:val="0"/>
            <w:vAlign w:val="top"/>
          </w:tcPr>
          <w:p w14:paraId="38CB6FA6">
            <w:pPr>
              <w:pStyle w:val="98"/>
              <w:autoSpaceDE w:val="0"/>
              <w:autoSpaceDN w:val="0"/>
              <w:spacing w:before="179" w:line="308" w:lineRule="auto"/>
              <w:ind w:left="114" w:right="106" w:hanging="1"/>
              <w:rPr>
                <w:kern w:val="0"/>
              </w:rPr>
            </w:pPr>
            <w:r>
              <w:rPr>
                <w:kern w:val="0"/>
              </w:rPr>
              <w:t>投标人须承诺：除本次招标外送检测项目清单内容外，医院因业务发展需求，要求新增同类检测项目，投标人须在符合《</w:t>
            </w:r>
            <w:r>
              <w:rPr>
                <w:rFonts w:hint="eastAsia"/>
                <w:kern w:val="0"/>
              </w:rPr>
              <w:t>温州市公立医院医疗服务收费价格标准</w:t>
            </w:r>
            <w:r>
              <w:rPr>
                <w:kern w:val="0"/>
              </w:rPr>
              <w:t>》，试剂及仪器合法合规的基础上，按本合同的折扣率执行，纳入服务范围。合同年度添购资金总额不超过原合同采购金额百分之十。</w:t>
            </w:r>
          </w:p>
        </w:tc>
      </w:tr>
      <w:tr w14:paraId="674B4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5" w:type="dxa"/>
            <w:noWrap w:val="0"/>
            <w:vAlign w:val="top"/>
          </w:tcPr>
          <w:p w14:paraId="1B6837B4">
            <w:pPr>
              <w:pStyle w:val="98"/>
              <w:autoSpaceDE w:val="0"/>
              <w:autoSpaceDN w:val="0"/>
              <w:spacing w:before="185" w:line="219" w:lineRule="auto"/>
              <w:ind w:left="116" w:leftChars="0"/>
              <w:jc w:val="center"/>
              <w:rPr>
                <w:rFonts w:hint="eastAsia" w:ascii="新宋体" w:hAnsi="新宋体" w:eastAsia="新宋体" w:cs="新宋体"/>
                <w:kern w:val="0"/>
                <w:sz w:val="22"/>
                <w:szCs w:val="22"/>
                <w:lang w:val="en-US" w:eastAsia="zh-CN" w:bidi="ar-SA"/>
              </w:rPr>
            </w:pPr>
            <w:r>
              <w:rPr>
                <w:rFonts w:hint="eastAsia"/>
                <w:spacing w:val="-1"/>
                <w:kern w:val="0"/>
                <w:sz w:val="22"/>
                <w:szCs w:val="22"/>
                <w:lang w:val="en-US" w:eastAsia="zh-CN"/>
              </w:rPr>
              <w:t>8</w:t>
            </w:r>
          </w:p>
        </w:tc>
        <w:tc>
          <w:tcPr>
            <w:tcW w:w="8662" w:type="dxa"/>
            <w:noWrap w:val="0"/>
            <w:vAlign w:val="top"/>
          </w:tcPr>
          <w:p w14:paraId="6BDEB0AD">
            <w:pPr>
              <w:pStyle w:val="98"/>
              <w:autoSpaceDE w:val="0"/>
              <w:autoSpaceDN w:val="0"/>
              <w:spacing w:before="179" w:line="308" w:lineRule="auto"/>
              <w:ind w:left="114" w:right="106" w:hanging="1"/>
              <w:rPr>
                <w:kern w:val="0"/>
              </w:rPr>
            </w:pPr>
            <w:r>
              <w:rPr>
                <w:kern w:val="0"/>
              </w:rPr>
              <w:t>投标人需接受委托招标人每年一次的实地质量考核，针对考核中的不符合项进行整改并将整改情况以图文形式反馈回委托单位。实地质量考核中出现以下情况，招标人有权终止合同：</w:t>
            </w:r>
          </w:p>
          <w:p w14:paraId="0AAA2C5D">
            <w:pPr>
              <w:pStyle w:val="98"/>
              <w:autoSpaceDE w:val="0"/>
              <w:autoSpaceDN w:val="0"/>
              <w:spacing w:before="179" w:line="308" w:lineRule="auto"/>
              <w:ind w:left="114" w:right="106" w:hanging="1"/>
              <w:rPr>
                <w:kern w:val="0"/>
              </w:rPr>
            </w:pPr>
            <w:r>
              <w:rPr>
                <w:kern w:val="0"/>
              </w:rPr>
              <w:t>1、检验结果数据不真实（数据与原始结果不符或无原始结果）；</w:t>
            </w:r>
          </w:p>
          <w:p w14:paraId="303F4F62">
            <w:pPr>
              <w:pStyle w:val="98"/>
              <w:autoSpaceDE w:val="0"/>
              <w:autoSpaceDN w:val="0"/>
              <w:spacing w:before="179" w:line="308" w:lineRule="auto"/>
              <w:ind w:left="114" w:right="106" w:hanging="1"/>
              <w:rPr>
                <w:kern w:val="0"/>
              </w:rPr>
            </w:pPr>
            <w:r>
              <w:rPr>
                <w:kern w:val="0"/>
              </w:rPr>
              <w:t>2、项目无质量保证方案或未按方案执行；</w:t>
            </w:r>
          </w:p>
          <w:p w14:paraId="1E70E572">
            <w:pPr>
              <w:pStyle w:val="98"/>
              <w:autoSpaceDE w:val="0"/>
              <w:autoSpaceDN w:val="0"/>
              <w:spacing w:before="179" w:line="308" w:lineRule="auto"/>
              <w:ind w:left="114" w:right="106" w:hanging="1"/>
              <w:rPr>
                <w:kern w:val="0"/>
              </w:rPr>
            </w:pPr>
            <w:r>
              <w:rPr>
                <w:kern w:val="0"/>
              </w:rPr>
              <w:t>3、样本运输与中标方提供的样本运输文件不符；</w:t>
            </w:r>
          </w:p>
          <w:p w14:paraId="5ECE8C2A">
            <w:pPr>
              <w:pStyle w:val="98"/>
              <w:autoSpaceDE w:val="0"/>
              <w:autoSpaceDN w:val="0"/>
              <w:spacing w:before="179" w:line="308" w:lineRule="auto"/>
              <w:ind w:left="114" w:right="106" w:hanging="1"/>
              <w:rPr>
                <w:kern w:val="0"/>
                <w:lang w:val="en-US" w:eastAsia="en-US"/>
              </w:rPr>
            </w:pPr>
            <w:r>
              <w:rPr>
                <w:kern w:val="0"/>
              </w:rPr>
              <w:t>4、泄露委托方样本患者信息或隐私数据。</w:t>
            </w:r>
          </w:p>
        </w:tc>
      </w:tr>
    </w:tbl>
    <w:p w14:paraId="027C4F02">
      <w:pPr>
        <w:spacing w:before="104" w:line="219" w:lineRule="auto"/>
        <w:jc w:val="left"/>
        <w:outlineLvl w:val="0"/>
        <w:rPr>
          <w:rFonts w:hint="eastAsia" w:ascii="宋体" w:hAnsi="宋体" w:eastAsia="宋体" w:cs="宋体"/>
          <w:b/>
          <w:bCs/>
          <w:spacing w:val="-3"/>
          <w:kern w:val="0"/>
          <w:sz w:val="22"/>
          <w:szCs w:val="22"/>
          <w:lang w:eastAsia="zh-CN"/>
        </w:rPr>
      </w:pPr>
    </w:p>
    <w:p w14:paraId="61C21391">
      <w:pPr>
        <w:spacing w:before="104" w:line="219" w:lineRule="auto"/>
        <w:jc w:val="left"/>
        <w:outlineLvl w:val="0"/>
        <w:rPr>
          <w:rFonts w:ascii="新宋体" w:hAnsi="新宋体" w:eastAsia="新宋体" w:cs="新宋体"/>
          <w:b/>
          <w:bCs/>
          <w:kern w:val="0"/>
          <w:sz w:val="22"/>
          <w:szCs w:val="22"/>
        </w:rPr>
      </w:pPr>
      <w:r>
        <w:rPr>
          <w:rFonts w:hint="eastAsia" w:ascii="新宋体" w:hAnsi="新宋体" w:eastAsia="新宋体" w:cs="新宋体"/>
          <w:b/>
          <w:bCs/>
          <w:spacing w:val="-3"/>
          <w:kern w:val="0"/>
          <w:sz w:val="22"/>
          <w:szCs w:val="22"/>
          <w:lang w:eastAsia="zh-CN"/>
        </w:rPr>
        <w:t>（</w:t>
      </w:r>
      <w:r>
        <w:rPr>
          <w:rFonts w:hint="eastAsia" w:ascii="新宋体" w:hAnsi="新宋体" w:eastAsia="新宋体" w:cs="新宋体"/>
          <w:b/>
          <w:bCs/>
          <w:spacing w:val="-3"/>
          <w:kern w:val="0"/>
          <w:sz w:val="22"/>
          <w:szCs w:val="22"/>
          <w:lang w:val="en-US" w:eastAsia="zh-CN"/>
        </w:rPr>
        <w:t>二</w:t>
      </w:r>
      <w:r>
        <w:rPr>
          <w:rFonts w:hint="eastAsia" w:ascii="新宋体" w:hAnsi="新宋体" w:eastAsia="新宋体" w:cs="新宋体"/>
          <w:b/>
          <w:bCs/>
          <w:spacing w:val="-3"/>
          <w:kern w:val="0"/>
          <w:sz w:val="22"/>
          <w:szCs w:val="22"/>
          <w:lang w:eastAsia="zh-CN"/>
        </w:rPr>
        <w:t>）</w:t>
      </w:r>
      <w:r>
        <w:rPr>
          <w:rFonts w:ascii="新宋体" w:hAnsi="新宋体" w:eastAsia="新宋体" w:cs="新宋体"/>
          <w:b/>
          <w:bCs/>
          <w:spacing w:val="-2"/>
          <w:kern w:val="0"/>
          <w:sz w:val="22"/>
          <w:szCs w:val="22"/>
        </w:rPr>
        <w:t>服务要求</w:t>
      </w:r>
    </w:p>
    <w:p w14:paraId="1B25103C">
      <w:pPr>
        <w:spacing w:line="18" w:lineRule="exact"/>
        <w:rPr>
          <w:rFonts w:ascii="Times New Roman" w:hAnsi="Times New Roman" w:eastAsia="宋体" w:cs="Times New Roman"/>
          <w:kern w:val="0"/>
          <w:sz w:val="20"/>
          <w:szCs w:val="20"/>
        </w:rPr>
      </w:pPr>
    </w:p>
    <w:tbl>
      <w:tblPr>
        <w:tblStyle w:val="53"/>
        <w:tblW w:w="96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8662"/>
      </w:tblGrid>
      <w:tr w14:paraId="1D589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15" w:type="dxa"/>
            <w:noWrap w:val="0"/>
            <w:vAlign w:val="top"/>
          </w:tcPr>
          <w:p w14:paraId="0333325B">
            <w:pPr>
              <w:pStyle w:val="98"/>
              <w:autoSpaceDE w:val="0"/>
              <w:autoSpaceDN w:val="0"/>
              <w:spacing w:before="184" w:line="230" w:lineRule="auto"/>
              <w:ind w:left="118"/>
              <w:rPr>
                <w:rFonts w:hint="eastAsia" w:eastAsia="新宋体"/>
                <w:kern w:val="0"/>
                <w:lang w:val="en-US" w:eastAsia="zh-CN"/>
              </w:rPr>
            </w:pPr>
            <w:r>
              <w:rPr>
                <w:rFonts w:hint="eastAsia"/>
                <w:kern w:val="0"/>
                <w:lang w:val="en-US" w:eastAsia="zh-CN"/>
              </w:rPr>
              <w:t>1</w:t>
            </w:r>
          </w:p>
        </w:tc>
        <w:tc>
          <w:tcPr>
            <w:tcW w:w="8662" w:type="dxa"/>
            <w:noWrap w:val="0"/>
            <w:vAlign w:val="top"/>
          </w:tcPr>
          <w:p w14:paraId="5800ED5D">
            <w:pPr>
              <w:pStyle w:val="98"/>
              <w:autoSpaceDE w:val="0"/>
              <w:autoSpaceDN w:val="0"/>
              <w:spacing w:before="184" w:line="219" w:lineRule="auto"/>
              <w:ind w:left="117"/>
              <w:rPr>
                <w:kern w:val="0"/>
              </w:rPr>
            </w:pPr>
            <w:r>
              <w:rPr>
                <w:kern w:val="0"/>
              </w:rPr>
              <w:t>外送检测服务要求（具备即要求提供，含在</w:t>
            </w:r>
            <w:r>
              <w:rPr>
                <w:spacing w:val="-1"/>
                <w:kern w:val="0"/>
              </w:rPr>
              <w:t>投标总价中，除另有要求说明外）</w:t>
            </w:r>
          </w:p>
        </w:tc>
      </w:tr>
      <w:tr w14:paraId="026C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top"/>
          </w:tcPr>
          <w:p w14:paraId="4C77FB14">
            <w:pPr>
              <w:pStyle w:val="98"/>
              <w:autoSpaceDE w:val="0"/>
              <w:autoSpaceDN w:val="0"/>
              <w:spacing w:before="178" w:line="232" w:lineRule="auto"/>
              <w:ind w:left="118"/>
              <w:rPr>
                <w:kern w:val="0"/>
              </w:rPr>
            </w:pPr>
            <w:r>
              <w:rPr>
                <w:rFonts w:hint="eastAsia"/>
                <w:spacing w:val="-4"/>
                <w:kern w:val="0"/>
                <w:lang w:val="en-US" w:eastAsia="zh-CN"/>
              </w:rPr>
              <w:t>1</w:t>
            </w:r>
            <w:r>
              <w:rPr>
                <w:spacing w:val="-4"/>
                <w:kern w:val="0"/>
              </w:rPr>
              <w:t>.1</w:t>
            </w:r>
          </w:p>
        </w:tc>
        <w:tc>
          <w:tcPr>
            <w:tcW w:w="8662" w:type="dxa"/>
            <w:noWrap w:val="0"/>
            <w:vAlign w:val="top"/>
          </w:tcPr>
          <w:p w14:paraId="5553230A">
            <w:pPr>
              <w:pStyle w:val="98"/>
              <w:autoSpaceDE w:val="0"/>
              <w:autoSpaceDN w:val="0"/>
              <w:spacing w:before="179" w:line="219" w:lineRule="auto"/>
              <w:ind w:left="117"/>
              <w:rPr>
                <w:kern w:val="0"/>
              </w:rPr>
            </w:pPr>
            <w:r>
              <w:rPr>
                <w:spacing w:val="-1"/>
                <w:kern w:val="0"/>
              </w:rPr>
              <w:t>外送检测标本类型包括：血液标本。</w:t>
            </w:r>
          </w:p>
        </w:tc>
      </w:tr>
      <w:tr w14:paraId="3D3DB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15" w:type="dxa"/>
            <w:noWrap w:val="0"/>
            <w:vAlign w:val="top"/>
          </w:tcPr>
          <w:p w14:paraId="430D7774">
            <w:pPr>
              <w:autoSpaceDE w:val="0"/>
              <w:autoSpaceDN w:val="0"/>
              <w:spacing w:before="148" w:line="224" w:lineRule="auto"/>
              <w:ind w:left="118"/>
              <w:rPr>
                <w:rFonts w:ascii="宋体" w:hAnsi="宋体" w:eastAsia="宋体" w:cs="宋体"/>
                <w:kern w:val="0"/>
                <w:sz w:val="22"/>
                <w:szCs w:val="22"/>
              </w:rPr>
            </w:pPr>
            <w:r>
              <w:rPr>
                <w:rFonts w:hint="eastAsia" w:ascii="宋体" w:hAnsi="宋体" w:eastAsia="宋体" w:cs="宋体"/>
                <w:spacing w:val="-4"/>
                <w:kern w:val="0"/>
                <w:sz w:val="22"/>
                <w:szCs w:val="22"/>
                <w:lang w:val="en-US" w:eastAsia="zh-CN"/>
              </w:rPr>
              <w:t>1</w:t>
            </w:r>
            <w:r>
              <w:rPr>
                <w:rFonts w:ascii="宋体" w:hAnsi="宋体" w:eastAsia="宋体" w:cs="宋体"/>
                <w:spacing w:val="-4"/>
                <w:kern w:val="0"/>
                <w:sz w:val="22"/>
                <w:szCs w:val="22"/>
              </w:rPr>
              <w:t>.2</w:t>
            </w:r>
          </w:p>
        </w:tc>
        <w:tc>
          <w:tcPr>
            <w:tcW w:w="8662" w:type="dxa"/>
            <w:noWrap w:val="0"/>
            <w:vAlign w:val="top"/>
          </w:tcPr>
          <w:p w14:paraId="13A60555">
            <w:pPr>
              <w:autoSpaceDE w:val="0"/>
              <w:autoSpaceDN w:val="0"/>
              <w:spacing w:before="148" w:line="219" w:lineRule="auto"/>
              <w:ind w:left="114"/>
              <w:rPr>
                <w:rFonts w:ascii="宋体" w:hAnsi="宋体" w:eastAsia="宋体" w:cs="宋体"/>
                <w:kern w:val="0"/>
                <w:sz w:val="22"/>
                <w:szCs w:val="22"/>
              </w:rPr>
            </w:pPr>
            <w:r>
              <w:rPr>
                <w:rFonts w:ascii="宋体" w:hAnsi="宋体" w:eastAsia="宋体" w:cs="宋体"/>
                <w:kern w:val="0"/>
                <w:sz w:val="22"/>
                <w:szCs w:val="22"/>
              </w:rPr>
              <w:t>血液标本运输：所有样本的运送必须符合样本运输管理要</w:t>
            </w:r>
            <w:r>
              <w:rPr>
                <w:rFonts w:ascii="宋体" w:hAnsi="宋体" w:eastAsia="宋体" w:cs="宋体"/>
                <w:spacing w:val="-1"/>
                <w:kern w:val="0"/>
                <w:sz w:val="22"/>
                <w:szCs w:val="22"/>
              </w:rPr>
              <w:t>求，工作日每天运送标本。</w:t>
            </w:r>
          </w:p>
        </w:tc>
      </w:tr>
      <w:tr w14:paraId="7D20E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15" w:type="dxa"/>
            <w:noWrap w:val="0"/>
            <w:vAlign w:val="top"/>
          </w:tcPr>
          <w:p w14:paraId="4049293C">
            <w:pPr>
              <w:autoSpaceDE w:val="0"/>
              <w:autoSpaceDN w:val="0"/>
              <w:spacing w:before="148" w:line="224" w:lineRule="auto"/>
              <w:ind w:left="118"/>
              <w:rPr>
                <w:rFonts w:ascii="宋体" w:hAnsi="宋体" w:eastAsia="宋体" w:cs="宋体"/>
                <w:kern w:val="0"/>
                <w:sz w:val="22"/>
                <w:szCs w:val="22"/>
              </w:rPr>
            </w:pPr>
            <w:r>
              <w:rPr>
                <w:rFonts w:hint="eastAsia" w:ascii="宋体" w:hAnsi="宋体" w:eastAsia="宋体" w:cs="宋体"/>
                <w:spacing w:val="-4"/>
                <w:kern w:val="0"/>
                <w:sz w:val="22"/>
                <w:szCs w:val="22"/>
                <w:lang w:val="en-US" w:eastAsia="zh-CN"/>
              </w:rPr>
              <w:t>1</w:t>
            </w:r>
            <w:r>
              <w:rPr>
                <w:rFonts w:ascii="宋体" w:hAnsi="宋体" w:eastAsia="宋体" w:cs="宋体"/>
                <w:spacing w:val="-4"/>
                <w:kern w:val="0"/>
                <w:sz w:val="22"/>
                <w:szCs w:val="22"/>
              </w:rPr>
              <w:t>.3</w:t>
            </w:r>
          </w:p>
        </w:tc>
        <w:tc>
          <w:tcPr>
            <w:tcW w:w="8662" w:type="dxa"/>
            <w:noWrap w:val="0"/>
            <w:vAlign w:val="top"/>
          </w:tcPr>
          <w:p w14:paraId="06BEC3E8">
            <w:pPr>
              <w:autoSpaceDE w:val="0"/>
              <w:autoSpaceDN w:val="0"/>
              <w:spacing w:before="148" w:line="219" w:lineRule="auto"/>
              <w:ind w:left="114"/>
              <w:rPr>
                <w:rFonts w:ascii="宋体" w:hAnsi="宋体" w:eastAsia="宋体" w:cs="宋体"/>
                <w:kern w:val="0"/>
                <w:sz w:val="22"/>
                <w:szCs w:val="22"/>
              </w:rPr>
            </w:pPr>
            <w:r>
              <w:rPr>
                <w:rFonts w:ascii="宋体" w:hAnsi="宋体" w:eastAsia="宋体" w:cs="宋体"/>
                <w:spacing w:val="-1"/>
                <w:kern w:val="0"/>
                <w:sz w:val="22"/>
                <w:szCs w:val="22"/>
              </w:rPr>
              <w:t>标本的采集保存及运输：</w:t>
            </w:r>
          </w:p>
        </w:tc>
      </w:tr>
      <w:tr w14:paraId="7C072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5" w:type="dxa"/>
            <w:noWrap w:val="0"/>
            <w:vAlign w:val="top"/>
          </w:tcPr>
          <w:p w14:paraId="2441A053">
            <w:pPr>
              <w:autoSpaceDE w:val="0"/>
              <w:autoSpaceDN w:val="0"/>
              <w:spacing w:line="284" w:lineRule="auto"/>
              <w:rPr>
                <w:rFonts w:ascii="Arial" w:hAnsi="Times New Roman" w:eastAsia="宋体" w:cs="Times New Roman"/>
                <w:kern w:val="0"/>
                <w:sz w:val="21"/>
                <w:szCs w:val="20"/>
              </w:rPr>
            </w:pPr>
          </w:p>
          <w:p w14:paraId="6789912E">
            <w:pPr>
              <w:autoSpaceDE w:val="0"/>
              <w:autoSpaceDN w:val="0"/>
              <w:spacing w:before="72"/>
              <w:ind w:left="118"/>
              <w:rPr>
                <w:rFonts w:ascii="宋体" w:hAnsi="宋体" w:eastAsia="宋体" w:cs="宋体"/>
                <w:kern w:val="0"/>
                <w:sz w:val="22"/>
                <w:szCs w:val="22"/>
              </w:rPr>
            </w:pPr>
            <w:r>
              <w:rPr>
                <w:rFonts w:hint="eastAsia" w:ascii="宋体" w:hAnsi="宋体" w:eastAsia="宋体" w:cs="宋体"/>
                <w:spacing w:val="-2"/>
                <w:kern w:val="0"/>
                <w:sz w:val="22"/>
                <w:szCs w:val="22"/>
                <w:lang w:val="en-US" w:eastAsia="zh-CN"/>
              </w:rPr>
              <w:t>1</w:t>
            </w:r>
            <w:r>
              <w:rPr>
                <w:rFonts w:ascii="宋体" w:hAnsi="宋体" w:eastAsia="宋体" w:cs="宋体"/>
                <w:spacing w:val="-2"/>
                <w:kern w:val="0"/>
                <w:sz w:val="22"/>
                <w:szCs w:val="22"/>
              </w:rPr>
              <w:t>.3.1</w:t>
            </w:r>
          </w:p>
        </w:tc>
        <w:tc>
          <w:tcPr>
            <w:tcW w:w="8662" w:type="dxa"/>
            <w:noWrap w:val="0"/>
            <w:vAlign w:val="top"/>
          </w:tcPr>
          <w:p w14:paraId="67FBA0D5">
            <w:pPr>
              <w:autoSpaceDE w:val="0"/>
              <w:autoSpaceDN w:val="0"/>
              <w:spacing w:before="147" w:line="288" w:lineRule="auto"/>
              <w:ind w:left="112" w:right="45" w:firstLine="2"/>
              <w:rPr>
                <w:rFonts w:ascii="宋体" w:hAnsi="宋体" w:eastAsia="宋体" w:cs="宋体"/>
                <w:kern w:val="0"/>
                <w:sz w:val="22"/>
                <w:szCs w:val="22"/>
              </w:rPr>
            </w:pPr>
            <w:r>
              <w:rPr>
                <w:rFonts w:ascii="宋体" w:hAnsi="宋体" w:eastAsia="宋体" w:cs="宋体"/>
                <w:spacing w:val="-3"/>
                <w:kern w:val="0"/>
                <w:sz w:val="22"/>
                <w:szCs w:val="22"/>
              </w:rPr>
              <w:t>血液标本采集：由投标人提供采血管（EDTA</w:t>
            </w:r>
            <w:r>
              <w:rPr>
                <w:rFonts w:ascii="宋体" w:hAnsi="宋体" w:eastAsia="宋体" w:cs="宋体"/>
                <w:spacing w:val="-48"/>
                <w:kern w:val="0"/>
                <w:sz w:val="22"/>
                <w:szCs w:val="22"/>
              </w:rPr>
              <w:t xml:space="preserve"> </w:t>
            </w:r>
            <w:r>
              <w:rPr>
                <w:rFonts w:ascii="宋体" w:hAnsi="宋体" w:eastAsia="宋体" w:cs="宋体"/>
                <w:spacing w:val="-3"/>
                <w:kern w:val="0"/>
                <w:sz w:val="22"/>
                <w:szCs w:val="22"/>
              </w:rPr>
              <w:t>抗凝血管、肝素抗凝血</w:t>
            </w:r>
            <w:r>
              <w:rPr>
                <w:rFonts w:ascii="宋体" w:hAnsi="宋体" w:eastAsia="宋体" w:cs="宋体"/>
                <w:spacing w:val="-4"/>
                <w:kern w:val="0"/>
                <w:sz w:val="22"/>
                <w:szCs w:val="22"/>
              </w:rPr>
              <w:t>管</w:t>
            </w:r>
            <w:r>
              <w:rPr>
                <w:rFonts w:ascii="宋体" w:hAnsi="宋体" w:eastAsia="宋体" w:cs="宋体"/>
                <w:spacing w:val="-11"/>
                <w:kern w:val="0"/>
                <w:sz w:val="22"/>
                <w:szCs w:val="22"/>
              </w:rPr>
              <w:t>），</w:t>
            </w:r>
            <w:r>
              <w:rPr>
                <w:rFonts w:ascii="宋体" w:hAnsi="宋体" w:eastAsia="宋体" w:cs="宋体"/>
                <w:spacing w:val="-4"/>
                <w:kern w:val="0"/>
                <w:sz w:val="22"/>
                <w:szCs w:val="22"/>
              </w:rPr>
              <w:t>按照项目要求，</w:t>
            </w:r>
            <w:r>
              <w:rPr>
                <w:rFonts w:ascii="宋体" w:hAnsi="宋体" w:eastAsia="宋体" w:cs="宋体"/>
                <w:spacing w:val="-1"/>
                <w:kern w:val="0"/>
                <w:sz w:val="22"/>
                <w:szCs w:val="22"/>
              </w:rPr>
              <w:t>采集对应项目抗凝血液。</w:t>
            </w:r>
          </w:p>
        </w:tc>
      </w:tr>
      <w:tr w14:paraId="11DD3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15" w:type="dxa"/>
            <w:noWrap w:val="0"/>
            <w:vAlign w:val="top"/>
          </w:tcPr>
          <w:p w14:paraId="4F9A2BBD">
            <w:pPr>
              <w:autoSpaceDE w:val="0"/>
              <w:autoSpaceDN w:val="0"/>
              <w:spacing w:before="148" w:line="224" w:lineRule="auto"/>
              <w:ind w:left="118"/>
              <w:rPr>
                <w:rFonts w:ascii="宋体" w:hAnsi="宋体" w:eastAsia="宋体" w:cs="宋体"/>
                <w:kern w:val="0"/>
                <w:sz w:val="22"/>
                <w:szCs w:val="22"/>
              </w:rPr>
            </w:pPr>
            <w:r>
              <w:rPr>
                <w:rFonts w:hint="eastAsia" w:ascii="宋体" w:hAnsi="宋体" w:eastAsia="宋体" w:cs="宋体"/>
                <w:spacing w:val="-2"/>
                <w:kern w:val="0"/>
                <w:sz w:val="22"/>
                <w:szCs w:val="22"/>
                <w:lang w:val="en-US" w:eastAsia="zh-CN"/>
              </w:rPr>
              <w:t>1</w:t>
            </w:r>
            <w:r>
              <w:rPr>
                <w:rFonts w:ascii="宋体" w:hAnsi="宋体" w:eastAsia="宋体" w:cs="宋体"/>
                <w:spacing w:val="-2"/>
                <w:kern w:val="0"/>
                <w:sz w:val="22"/>
                <w:szCs w:val="22"/>
              </w:rPr>
              <w:t>.3.2</w:t>
            </w:r>
          </w:p>
        </w:tc>
        <w:tc>
          <w:tcPr>
            <w:tcW w:w="8662" w:type="dxa"/>
            <w:noWrap w:val="0"/>
            <w:vAlign w:val="top"/>
          </w:tcPr>
          <w:p w14:paraId="08AD7320">
            <w:pPr>
              <w:pStyle w:val="98"/>
              <w:autoSpaceDE w:val="0"/>
              <w:autoSpaceDN w:val="0"/>
              <w:spacing w:before="108" w:line="195" w:lineRule="auto"/>
              <w:ind w:left="114"/>
              <w:rPr>
                <w:rFonts w:ascii="宋体" w:hAnsi="宋体" w:eastAsia="宋体" w:cs="宋体"/>
                <w:kern w:val="0"/>
              </w:rPr>
            </w:pPr>
            <w:r>
              <w:rPr>
                <w:rFonts w:ascii="宋体" w:hAnsi="宋体" w:eastAsia="宋体" w:cs="宋体"/>
                <w:spacing w:val="-1"/>
                <w:kern w:val="0"/>
              </w:rPr>
              <w:t>血液标本保存：低温（2</w:t>
            </w:r>
            <w:r>
              <w:rPr>
                <w:rFonts w:ascii="微软雅黑" w:hAnsi="微软雅黑" w:eastAsia="微软雅黑" w:cs="微软雅黑"/>
                <w:spacing w:val="-1"/>
                <w:kern w:val="0"/>
              </w:rPr>
              <w:t>℃</w:t>
            </w:r>
            <w:r>
              <w:rPr>
                <w:rFonts w:ascii="微软雅黑" w:hAnsi="微软雅黑" w:eastAsia="微软雅黑" w:cs="微软雅黑"/>
                <w:spacing w:val="-41"/>
                <w:kern w:val="0"/>
              </w:rPr>
              <w:t xml:space="preserve"> </w:t>
            </w:r>
            <w:r>
              <w:rPr>
                <w:rFonts w:ascii="微软雅黑" w:hAnsi="微软雅黑" w:eastAsia="微软雅黑" w:cs="微软雅黑"/>
                <w:spacing w:val="-1"/>
                <w:kern w:val="0"/>
              </w:rPr>
              <w:t>~</w:t>
            </w:r>
            <w:r>
              <w:rPr>
                <w:spacing w:val="-1"/>
                <w:kern w:val="0"/>
              </w:rPr>
              <w:t>8</w:t>
            </w:r>
            <w:r>
              <w:rPr>
                <w:rFonts w:ascii="微软雅黑" w:hAnsi="微软雅黑" w:eastAsia="微软雅黑" w:cs="微软雅黑"/>
                <w:spacing w:val="-1"/>
                <w:kern w:val="0"/>
              </w:rPr>
              <w:t>℃</w:t>
            </w:r>
            <w:r>
              <w:rPr>
                <w:rFonts w:ascii="宋体" w:hAnsi="宋体" w:eastAsia="宋体" w:cs="宋体"/>
                <w:spacing w:val="-1"/>
                <w:kern w:val="0"/>
              </w:rPr>
              <w:t>) 冷藏保存，保存过程中杜绝</w:t>
            </w:r>
            <w:r>
              <w:rPr>
                <w:rFonts w:ascii="宋体" w:hAnsi="宋体" w:eastAsia="宋体" w:cs="宋体"/>
                <w:spacing w:val="-2"/>
                <w:kern w:val="0"/>
              </w:rPr>
              <w:t>冻存。</w:t>
            </w:r>
          </w:p>
        </w:tc>
      </w:tr>
      <w:tr w14:paraId="76DB7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15" w:type="dxa"/>
            <w:noWrap w:val="0"/>
            <w:vAlign w:val="top"/>
          </w:tcPr>
          <w:p w14:paraId="23BF2B7B">
            <w:pPr>
              <w:autoSpaceDE w:val="0"/>
              <w:autoSpaceDN w:val="0"/>
              <w:spacing w:before="150" w:line="222" w:lineRule="auto"/>
              <w:ind w:left="118"/>
              <w:rPr>
                <w:rFonts w:ascii="宋体" w:hAnsi="宋体" w:eastAsia="宋体" w:cs="宋体"/>
                <w:kern w:val="0"/>
                <w:sz w:val="22"/>
                <w:szCs w:val="22"/>
              </w:rPr>
            </w:pPr>
            <w:r>
              <w:rPr>
                <w:rFonts w:hint="eastAsia" w:ascii="宋体" w:hAnsi="宋体" w:eastAsia="宋体" w:cs="宋体"/>
                <w:spacing w:val="-2"/>
                <w:kern w:val="0"/>
                <w:sz w:val="22"/>
                <w:szCs w:val="22"/>
                <w:lang w:eastAsia="zh-CN"/>
              </w:rPr>
              <w:t>1.</w:t>
            </w:r>
            <w:r>
              <w:rPr>
                <w:rFonts w:ascii="宋体" w:hAnsi="宋体" w:eastAsia="宋体" w:cs="宋体"/>
                <w:spacing w:val="-2"/>
                <w:kern w:val="0"/>
                <w:sz w:val="22"/>
                <w:szCs w:val="22"/>
              </w:rPr>
              <w:t>3.3</w:t>
            </w:r>
          </w:p>
        </w:tc>
        <w:tc>
          <w:tcPr>
            <w:tcW w:w="8662" w:type="dxa"/>
            <w:noWrap w:val="0"/>
            <w:vAlign w:val="top"/>
          </w:tcPr>
          <w:p w14:paraId="502D7CD4">
            <w:pPr>
              <w:autoSpaceDE w:val="0"/>
              <w:autoSpaceDN w:val="0"/>
              <w:spacing w:before="150" w:line="219" w:lineRule="auto"/>
              <w:ind w:left="114"/>
              <w:rPr>
                <w:rFonts w:ascii="宋体" w:hAnsi="宋体" w:eastAsia="宋体" w:cs="宋体"/>
                <w:kern w:val="0"/>
                <w:sz w:val="22"/>
                <w:szCs w:val="22"/>
              </w:rPr>
            </w:pPr>
            <w:r>
              <w:rPr>
                <w:rFonts w:ascii="宋体" w:hAnsi="宋体" w:eastAsia="宋体" w:cs="宋体"/>
                <w:spacing w:val="-1"/>
                <w:kern w:val="0"/>
                <w:sz w:val="22"/>
                <w:szCs w:val="22"/>
              </w:rPr>
              <w:t>血液标本运送：标本运送过程需符合生物安全管理要求。</w:t>
            </w:r>
          </w:p>
        </w:tc>
      </w:tr>
      <w:tr w14:paraId="055EB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15" w:type="dxa"/>
            <w:noWrap w:val="0"/>
            <w:vAlign w:val="top"/>
          </w:tcPr>
          <w:p w14:paraId="7929AF32">
            <w:pPr>
              <w:autoSpaceDE w:val="0"/>
              <w:autoSpaceDN w:val="0"/>
              <w:spacing w:before="149" w:line="223" w:lineRule="auto"/>
              <w:ind w:left="118"/>
              <w:rPr>
                <w:rFonts w:ascii="宋体" w:hAnsi="宋体" w:eastAsia="宋体" w:cs="宋体"/>
                <w:kern w:val="0"/>
                <w:sz w:val="22"/>
                <w:szCs w:val="22"/>
              </w:rPr>
            </w:pPr>
            <w:r>
              <w:rPr>
                <w:rFonts w:hint="eastAsia" w:ascii="宋体" w:hAnsi="宋体" w:eastAsia="宋体" w:cs="宋体"/>
                <w:spacing w:val="-2"/>
                <w:kern w:val="0"/>
                <w:sz w:val="22"/>
                <w:szCs w:val="22"/>
                <w:lang w:eastAsia="zh-CN"/>
              </w:rPr>
              <w:t>1.</w:t>
            </w:r>
            <w:r>
              <w:rPr>
                <w:rFonts w:ascii="宋体" w:hAnsi="宋体" w:eastAsia="宋体" w:cs="宋体"/>
                <w:spacing w:val="-2"/>
                <w:kern w:val="0"/>
                <w:sz w:val="22"/>
                <w:szCs w:val="22"/>
              </w:rPr>
              <w:t>3.4</w:t>
            </w:r>
          </w:p>
        </w:tc>
        <w:tc>
          <w:tcPr>
            <w:tcW w:w="8662" w:type="dxa"/>
            <w:noWrap w:val="0"/>
            <w:vAlign w:val="top"/>
          </w:tcPr>
          <w:p w14:paraId="2B1F273A">
            <w:pPr>
              <w:autoSpaceDE w:val="0"/>
              <w:autoSpaceDN w:val="0"/>
              <w:spacing w:before="150" w:line="219" w:lineRule="auto"/>
              <w:ind w:left="114"/>
              <w:rPr>
                <w:rFonts w:ascii="宋体" w:hAnsi="宋体" w:eastAsia="宋体" w:cs="宋体"/>
                <w:kern w:val="0"/>
                <w:sz w:val="22"/>
                <w:szCs w:val="22"/>
              </w:rPr>
            </w:pPr>
            <w:r>
              <w:rPr>
                <w:rFonts w:ascii="宋体" w:hAnsi="宋体" w:eastAsia="宋体" w:cs="宋体"/>
                <w:spacing w:val="-1"/>
                <w:kern w:val="0"/>
                <w:sz w:val="22"/>
                <w:szCs w:val="22"/>
              </w:rPr>
              <w:t>提供运输稳定性验证方案。</w:t>
            </w:r>
          </w:p>
        </w:tc>
      </w:tr>
      <w:tr w14:paraId="422D4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15" w:type="dxa"/>
            <w:noWrap w:val="0"/>
            <w:vAlign w:val="top"/>
          </w:tcPr>
          <w:p w14:paraId="6FC7B49C">
            <w:pPr>
              <w:pStyle w:val="98"/>
              <w:autoSpaceDE w:val="0"/>
              <w:autoSpaceDN w:val="0"/>
              <w:spacing w:before="180" w:line="230" w:lineRule="auto"/>
              <w:ind w:left="118"/>
              <w:rPr>
                <w:kern w:val="0"/>
              </w:rPr>
            </w:pPr>
            <w:r>
              <w:rPr>
                <w:rFonts w:hint="eastAsia"/>
                <w:spacing w:val="-4"/>
                <w:kern w:val="0"/>
                <w:lang w:eastAsia="zh-CN"/>
              </w:rPr>
              <w:t>1.</w:t>
            </w:r>
            <w:r>
              <w:rPr>
                <w:spacing w:val="-4"/>
                <w:kern w:val="0"/>
              </w:rPr>
              <w:t>4</w:t>
            </w:r>
          </w:p>
        </w:tc>
        <w:tc>
          <w:tcPr>
            <w:tcW w:w="8662" w:type="dxa"/>
            <w:noWrap w:val="0"/>
            <w:vAlign w:val="top"/>
          </w:tcPr>
          <w:p w14:paraId="429C85B7">
            <w:pPr>
              <w:pStyle w:val="98"/>
              <w:autoSpaceDE w:val="0"/>
              <w:autoSpaceDN w:val="0"/>
              <w:spacing w:before="180" w:line="220" w:lineRule="auto"/>
              <w:ind w:left="113"/>
              <w:rPr>
                <w:kern w:val="0"/>
              </w:rPr>
            </w:pPr>
            <w:r>
              <w:rPr>
                <w:spacing w:val="2"/>
                <w:kern w:val="0"/>
              </w:rPr>
              <w:t>抗感染细胞功能检测项目技术要求:</w:t>
            </w:r>
          </w:p>
        </w:tc>
      </w:tr>
      <w:tr w14:paraId="1AFF7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015" w:type="dxa"/>
            <w:noWrap w:val="0"/>
            <w:vAlign w:val="top"/>
          </w:tcPr>
          <w:p w14:paraId="69F34E02">
            <w:pPr>
              <w:pStyle w:val="98"/>
              <w:autoSpaceDE w:val="0"/>
              <w:autoSpaceDN w:val="0"/>
              <w:spacing w:before="181" w:line="238" w:lineRule="auto"/>
              <w:ind w:left="123"/>
              <w:rPr>
                <w:kern w:val="0"/>
              </w:rPr>
            </w:pPr>
            <w:r>
              <w:rPr>
                <w:rFonts w:hint="eastAsia"/>
                <w:spacing w:val="-3"/>
                <w:kern w:val="0"/>
                <w:lang w:eastAsia="zh-CN"/>
              </w:rPr>
              <w:t>△1.</w:t>
            </w:r>
            <w:r>
              <w:rPr>
                <w:spacing w:val="-3"/>
                <w:kern w:val="0"/>
              </w:rPr>
              <w:t>4.1</w:t>
            </w:r>
          </w:p>
        </w:tc>
        <w:tc>
          <w:tcPr>
            <w:tcW w:w="8662" w:type="dxa"/>
            <w:noWrap w:val="0"/>
            <w:vAlign w:val="top"/>
          </w:tcPr>
          <w:p w14:paraId="5C1D92C7">
            <w:pPr>
              <w:pStyle w:val="98"/>
              <w:autoSpaceDE w:val="0"/>
              <w:autoSpaceDN w:val="0"/>
              <w:spacing w:before="179" w:line="308" w:lineRule="auto"/>
              <w:ind w:left="122" w:right="85" w:hanging="7"/>
              <w:rPr>
                <w:kern w:val="0"/>
              </w:rPr>
            </w:pPr>
            <w:r>
              <w:rPr>
                <w:spacing w:val="-1"/>
                <w:kern w:val="0"/>
              </w:rPr>
              <w:t>投标时需提供项目所需试剂（必须包含</w:t>
            </w:r>
            <w:r>
              <w:rPr>
                <w:spacing w:val="-48"/>
                <w:kern w:val="0"/>
              </w:rPr>
              <w:t xml:space="preserve"> </w:t>
            </w:r>
            <w:r>
              <w:rPr>
                <w:spacing w:val="-1"/>
                <w:kern w:val="0"/>
              </w:rPr>
              <w:t>CD45\CD1</w:t>
            </w:r>
            <w:r>
              <w:rPr>
                <w:spacing w:val="-2"/>
                <w:kern w:val="0"/>
              </w:rPr>
              <w:t>4\CD64\CD11b\CD18）清单及对应的厂家</w:t>
            </w:r>
            <w:r>
              <w:rPr>
                <w:spacing w:val="-1"/>
                <w:kern w:val="0"/>
              </w:rPr>
              <w:t>医疗器械注册证或备案凭证（投标时提供证明文件）</w:t>
            </w:r>
          </w:p>
        </w:tc>
      </w:tr>
      <w:tr w14:paraId="50B17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top"/>
          </w:tcPr>
          <w:p w14:paraId="36E8F057">
            <w:pPr>
              <w:pStyle w:val="98"/>
              <w:autoSpaceDE w:val="0"/>
              <w:autoSpaceDN w:val="0"/>
              <w:spacing w:before="183" w:line="228" w:lineRule="auto"/>
              <w:ind w:left="123"/>
              <w:rPr>
                <w:kern w:val="0"/>
              </w:rPr>
            </w:pPr>
            <w:r>
              <w:rPr>
                <w:rFonts w:hint="eastAsia"/>
                <w:spacing w:val="-3"/>
                <w:kern w:val="0"/>
                <w:lang w:eastAsia="zh-CN"/>
              </w:rPr>
              <w:t>△1.</w:t>
            </w:r>
            <w:r>
              <w:rPr>
                <w:spacing w:val="-3"/>
                <w:kern w:val="0"/>
              </w:rPr>
              <w:t>4.2</w:t>
            </w:r>
          </w:p>
        </w:tc>
        <w:tc>
          <w:tcPr>
            <w:tcW w:w="8662" w:type="dxa"/>
            <w:noWrap w:val="0"/>
            <w:vAlign w:val="top"/>
          </w:tcPr>
          <w:p w14:paraId="0B7DE33C">
            <w:pPr>
              <w:pStyle w:val="98"/>
              <w:autoSpaceDE w:val="0"/>
              <w:autoSpaceDN w:val="0"/>
              <w:spacing w:before="183" w:line="219" w:lineRule="auto"/>
              <w:ind w:left="115"/>
              <w:rPr>
                <w:kern w:val="0"/>
              </w:rPr>
            </w:pPr>
            <w:r>
              <w:rPr>
                <w:spacing w:val="-1"/>
                <w:kern w:val="0"/>
              </w:rPr>
              <w:t>投标时提供抗感染细胞功能检测项目的实验操作</w:t>
            </w:r>
            <w:r>
              <w:rPr>
                <w:spacing w:val="-41"/>
                <w:kern w:val="0"/>
              </w:rPr>
              <w:t xml:space="preserve"> </w:t>
            </w:r>
            <w:r>
              <w:rPr>
                <w:spacing w:val="-1"/>
                <w:kern w:val="0"/>
              </w:rPr>
              <w:t>SOP。</w:t>
            </w:r>
          </w:p>
        </w:tc>
      </w:tr>
      <w:tr w14:paraId="6C723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top"/>
          </w:tcPr>
          <w:p w14:paraId="474F9704">
            <w:pPr>
              <w:pStyle w:val="98"/>
              <w:autoSpaceDE w:val="0"/>
              <w:autoSpaceDN w:val="0"/>
              <w:spacing w:before="180" w:line="230" w:lineRule="auto"/>
              <w:ind w:left="123"/>
              <w:rPr>
                <w:kern w:val="0"/>
              </w:rPr>
            </w:pPr>
            <w:r>
              <w:rPr>
                <w:rFonts w:hint="eastAsia"/>
                <w:strike w:val="0"/>
                <w:dstrike w:val="0"/>
                <w:spacing w:val="-3"/>
                <w:kern w:val="0"/>
                <w:lang w:eastAsia="zh-CN"/>
              </w:rPr>
              <w:t>△</w:t>
            </w:r>
            <w:r>
              <w:rPr>
                <w:rFonts w:hint="eastAsia"/>
                <w:spacing w:val="-3"/>
                <w:kern w:val="0"/>
                <w:lang w:eastAsia="zh-CN"/>
              </w:rPr>
              <w:t>1.</w:t>
            </w:r>
            <w:r>
              <w:rPr>
                <w:spacing w:val="-3"/>
                <w:kern w:val="0"/>
              </w:rPr>
              <w:t>4.3</w:t>
            </w:r>
          </w:p>
        </w:tc>
        <w:tc>
          <w:tcPr>
            <w:tcW w:w="8662" w:type="dxa"/>
            <w:noWrap w:val="0"/>
            <w:vAlign w:val="top"/>
          </w:tcPr>
          <w:p w14:paraId="0358CCBC">
            <w:pPr>
              <w:pStyle w:val="98"/>
              <w:autoSpaceDE w:val="0"/>
              <w:autoSpaceDN w:val="0"/>
              <w:spacing w:before="181" w:line="219" w:lineRule="auto"/>
              <w:ind w:left="115"/>
              <w:rPr>
                <w:kern w:val="0"/>
              </w:rPr>
            </w:pPr>
            <w:r>
              <w:rPr>
                <w:spacing w:val="-1"/>
                <w:kern w:val="0"/>
              </w:rPr>
              <w:t>投标时提供明确的</w:t>
            </w:r>
            <w:r>
              <w:rPr>
                <w:spacing w:val="-42"/>
                <w:kern w:val="0"/>
              </w:rPr>
              <w:t xml:space="preserve"> </w:t>
            </w:r>
            <w:r>
              <w:rPr>
                <w:spacing w:val="-1"/>
                <w:kern w:val="0"/>
              </w:rPr>
              <w:t>CD64</w:t>
            </w:r>
            <w:r>
              <w:rPr>
                <w:spacing w:val="-47"/>
                <w:kern w:val="0"/>
              </w:rPr>
              <w:t xml:space="preserve"> </w:t>
            </w:r>
            <w:r>
              <w:rPr>
                <w:spacing w:val="-1"/>
                <w:kern w:val="0"/>
              </w:rPr>
              <w:t>感染指数算法方案，线粒体损伤数据（MDI）。</w:t>
            </w:r>
          </w:p>
        </w:tc>
      </w:tr>
      <w:tr w14:paraId="24FCF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top"/>
          </w:tcPr>
          <w:p w14:paraId="78B90955">
            <w:pPr>
              <w:pStyle w:val="98"/>
              <w:autoSpaceDE w:val="0"/>
              <w:autoSpaceDN w:val="0"/>
              <w:spacing w:before="180" w:line="230" w:lineRule="auto"/>
              <w:ind w:left="118"/>
              <w:rPr>
                <w:kern w:val="0"/>
              </w:rPr>
            </w:pPr>
            <w:r>
              <w:rPr>
                <w:rFonts w:hint="eastAsia"/>
                <w:spacing w:val="-2"/>
                <w:kern w:val="0"/>
                <w:lang w:eastAsia="zh-CN"/>
              </w:rPr>
              <w:t>1.</w:t>
            </w:r>
            <w:r>
              <w:rPr>
                <w:spacing w:val="-2"/>
                <w:kern w:val="0"/>
              </w:rPr>
              <w:t>4.4</w:t>
            </w:r>
          </w:p>
        </w:tc>
        <w:tc>
          <w:tcPr>
            <w:tcW w:w="8662" w:type="dxa"/>
            <w:noWrap w:val="0"/>
            <w:vAlign w:val="top"/>
          </w:tcPr>
          <w:p w14:paraId="1D3BB178">
            <w:pPr>
              <w:autoSpaceDE w:val="0"/>
              <w:autoSpaceDN w:val="0"/>
              <w:spacing w:before="181" w:line="219" w:lineRule="auto"/>
              <w:ind w:left="115"/>
              <w:rPr>
                <w:rFonts w:ascii="宋体" w:hAnsi="宋体" w:eastAsia="宋体" w:cs="宋体"/>
                <w:kern w:val="0"/>
                <w:sz w:val="22"/>
                <w:szCs w:val="22"/>
              </w:rPr>
            </w:pPr>
            <w:r>
              <w:rPr>
                <w:rFonts w:ascii="宋体" w:hAnsi="宋体" w:eastAsia="宋体" w:cs="宋体"/>
                <w:spacing w:val="-1"/>
                <w:kern w:val="0"/>
                <w:sz w:val="22"/>
                <w:szCs w:val="22"/>
              </w:rPr>
              <w:t>软件系统可进行自动判读与报告单输出。</w:t>
            </w:r>
          </w:p>
        </w:tc>
      </w:tr>
      <w:tr w14:paraId="5A774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center"/>
          </w:tcPr>
          <w:p w14:paraId="43CD21C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1.5</w:t>
            </w:r>
          </w:p>
        </w:tc>
        <w:tc>
          <w:tcPr>
            <w:tcW w:w="8662" w:type="dxa"/>
            <w:noWrap w:val="0"/>
            <w:vAlign w:val="center"/>
          </w:tcPr>
          <w:p w14:paraId="1DF61BD3">
            <w:pPr>
              <w:pStyle w:val="98"/>
              <w:autoSpaceDE w:val="0"/>
              <w:autoSpaceDN w:val="0"/>
              <w:spacing w:before="179" w:line="308" w:lineRule="auto"/>
              <w:ind w:left="122" w:right="85" w:hanging="7"/>
              <w:rPr>
                <w:rFonts w:hint="eastAsia"/>
                <w:spacing w:val="-1"/>
                <w:kern w:val="0"/>
                <w:lang w:val="en-US" w:eastAsia="zh-CN"/>
              </w:rPr>
            </w:pPr>
            <w:r>
              <w:rPr>
                <w:rFonts w:hint="eastAsia"/>
                <w:spacing w:val="-1"/>
                <w:kern w:val="0"/>
                <w:lang w:val="en-US" w:eastAsia="zh-CN"/>
              </w:rPr>
              <w:t>免疫细胞线粒体功能检测</w:t>
            </w:r>
            <w:r>
              <w:rPr>
                <w:rFonts w:hint="eastAsia"/>
                <w:spacing w:val="-1"/>
                <w:kern w:val="0"/>
                <w:lang w:eastAsia="zh-CN"/>
              </w:rPr>
              <w:t>服务技术要求:</w:t>
            </w:r>
          </w:p>
        </w:tc>
      </w:tr>
      <w:tr w14:paraId="34C62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center"/>
          </w:tcPr>
          <w:p w14:paraId="26908F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1.5.1</w:t>
            </w:r>
          </w:p>
        </w:tc>
        <w:tc>
          <w:tcPr>
            <w:tcW w:w="8662" w:type="dxa"/>
            <w:noWrap w:val="0"/>
            <w:vAlign w:val="center"/>
          </w:tcPr>
          <w:p w14:paraId="7FBA1FBF">
            <w:pPr>
              <w:pStyle w:val="98"/>
              <w:autoSpaceDE w:val="0"/>
              <w:autoSpaceDN w:val="0"/>
              <w:spacing w:before="179" w:line="308" w:lineRule="auto"/>
              <w:ind w:left="122" w:right="85" w:hanging="7"/>
              <w:rPr>
                <w:rFonts w:hint="eastAsia"/>
                <w:spacing w:val="-1"/>
                <w:kern w:val="0"/>
                <w:lang w:val="en-US" w:eastAsia="zh-CN"/>
              </w:rPr>
            </w:pPr>
            <w:r>
              <w:rPr>
                <w:rFonts w:hint="eastAsia"/>
                <w:spacing w:val="-1"/>
                <w:kern w:val="0"/>
                <w:lang w:val="en-US" w:eastAsia="zh-CN"/>
              </w:rPr>
              <w:t>项目所需试剂（CD）清单及对应的医疗器械注册证或备案凭证</w:t>
            </w:r>
          </w:p>
        </w:tc>
      </w:tr>
      <w:tr w14:paraId="7204E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center"/>
          </w:tcPr>
          <w:p w14:paraId="2E57EB9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2"/>
                <w:szCs w:val="22"/>
                <w:lang w:val="en-US" w:eastAsia="zh-CN" w:bidi="ar-SA"/>
              </w:rPr>
            </w:pPr>
            <w:r>
              <w:rPr>
                <w:rFonts w:hint="eastAsia" w:ascii="Times New Roman" w:hAnsi="Times New Roman" w:eastAsia="宋体" w:cs="Times New Roman"/>
                <w:spacing w:val="-3"/>
                <w:kern w:val="0"/>
                <w:sz w:val="20"/>
                <w:szCs w:val="20"/>
                <w:lang w:eastAsia="zh-CN"/>
              </w:rPr>
              <w:t>△</w:t>
            </w:r>
            <w:r>
              <w:rPr>
                <w:rFonts w:hint="eastAsia" w:ascii="宋体" w:hAnsi="宋体" w:eastAsia="宋体" w:cs="宋体"/>
                <w:kern w:val="0"/>
                <w:sz w:val="22"/>
                <w:szCs w:val="22"/>
                <w:lang w:val="en-US" w:eastAsia="zh-CN"/>
              </w:rPr>
              <w:t>1.5.2</w:t>
            </w:r>
          </w:p>
        </w:tc>
        <w:tc>
          <w:tcPr>
            <w:tcW w:w="8662" w:type="dxa"/>
            <w:noWrap w:val="0"/>
            <w:vAlign w:val="center"/>
          </w:tcPr>
          <w:p w14:paraId="4FF62849">
            <w:pPr>
              <w:pStyle w:val="98"/>
              <w:autoSpaceDE w:val="0"/>
              <w:autoSpaceDN w:val="0"/>
              <w:spacing w:before="179" w:line="308" w:lineRule="auto"/>
              <w:ind w:left="122" w:right="85" w:hanging="7"/>
              <w:rPr>
                <w:rFonts w:hint="eastAsia"/>
                <w:spacing w:val="-1"/>
                <w:kern w:val="0"/>
                <w:lang w:val="en-US" w:eastAsia="zh-CN"/>
              </w:rPr>
            </w:pPr>
            <w:r>
              <w:rPr>
                <w:rFonts w:hint="eastAsia"/>
                <w:spacing w:val="-1"/>
                <w:kern w:val="0"/>
                <w:lang w:eastAsia="zh-CN"/>
              </w:rPr>
              <w:t>除淋巴细胞</w:t>
            </w:r>
            <w:r>
              <w:rPr>
                <w:rFonts w:hint="eastAsia"/>
                <w:spacing w:val="-1"/>
                <w:kern w:val="0"/>
                <w:lang w:val="en-US" w:eastAsia="zh-CN"/>
              </w:rPr>
              <w:t>百分比和</w:t>
            </w:r>
            <w:r>
              <w:rPr>
                <w:rFonts w:hint="eastAsia"/>
                <w:spacing w:val="-1"/>
                <w:kern w:val="0"/>
                <w:lang w:eastAsia="zh-CN"/>
              </w:rPr>
              <w:t>绝对计数数据（Abs.Count）输出</w:t>
            </w:r>
            <w:r>
              <w:rPr>
                <w:rFonts w:hint="eastAsia"/>
                <w:spacing w:val="-1"/>
                <w:kern w:val="0"/>
                <w:lang w:val="en-US" w:eastAsia="zh-CN"/>
              </w:rPr>
              <w:t>外</w:t>
            </w:r>
            <w:r>
              <w:rPr>
                <w:rFonts w:hint="eastAsia"/>
                <w:spacing w:val="-1"/>
                <w:kern w:val="0"/>
                <w:lang w:eastAsia="zh-CN"/>
              </w:rPr>
              <w:t>，还要包含</w:t>
            </w:r>
            <w:r>
              <w:rPr>
                <w:rFonts w:hint="eastAsia"/>
                <w:spacing w:val="-1"/>
                <w:kern w:val="0"/>
                <w:lang w:val="en-US" w:eastAsia="zh-CN"/>
              </w:rPr>
              <w:t>部分</w:t>
            </w:r>
            <w:r>
              <w:rPr>
                <w:rFonts w:hint="eastAsia"/>
                <w:spacing w:val="-1"/>
                <w:kern w:val="0"/>
                <w:lang w:eastAsia="zh-CN"/>
              </w:rPr>
              <w:t>相对应细胞器（线粒体）损伤数据（MDI）</w:t>
            </w:r>
          </w:p>
        </w:tc>
      </w:tr>
      <w:tr w14:paraId="378D2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center"/>
          </w:tcPr>
          <w:p w14:paraId="301569F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1.5.3</w:t>
            </w:r>
          </w:p>
        </w:tc>
        <w:tc>
          <w:tcPr>
            <w:tcW w:w="8662" w:type="dxa"/>
            <w:noWrap w:val="0"/>
            <w:vAlign w:val="center"/>
          </w:tcPr>
          <w:p w14:paraId="49D8E081">
            <w:pPr>
              <w:pStyle w:val="98"/>
              <w:autoSpaceDE w:val="0"/>
              <w:autoSpaceDN w:val="0"/>
              <w:spacing w:before="179" w:line="308" w:lineRule="auto"/>
              <w:ind w:left="122" w:right="85" w:hanging="7"/>
              <w:rPr>
                <w:rFonts w:hint="eastAsia"/>
                <w:spacing w:val="-1"/>
                <w:kern w:val="0"/>
                <w:lang w:val="en-US" w:eastAsia="zh-CN"/>
              </w:rPr>
            </w:pPr>
            <w:r>
              <w:rPr>
                <w:rFonts w:hint="eastAsia"/>
                <w:spacing w:val="-1"/>
                <w:kern w:val="0"/>
                <w:lang w:val="en-US" w:eastAsia="zh-CN"/>
              </w:rPr>
              <w:t>提供明确的线粒体损伤指数算法</w:t>
            </w:r>
          </w:p>
        </w:tc>
      </w:tr>
      <w:tr w14:paraId="027F6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center"/>
          </w:tcPr>
          <w:p w14:paraId="42035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1.5.4</w:t>
            </w:r>
          </w:p>
        </w:tc>
        <w:tc>
          <w:tcPr>
            <w:tcW w:w="8662" w:type="dxa"/>
            <w:noWrap w:val="0"/>
            <w:vAlign w:val="center"/>
          </w:tcPr>
          <w:p w14:paraId="25955A3E">
            <w:pPr>
              <w:pStyle w:val="98"/>
              <w:autoSpaceDE w:val="0"/>
              <w:autoSpaceDN w:val="0"/>
              <w:spacing w:before="179" w:line="308" w:lineRule="auto"/>
              <w:ind w:left="122" w:right="85" w:hanging="7"/>
              <w:rPr>
                <w:rFonts w:hint="eastAsia"/>
                <w:spacing w:val="-1"/>
                <w:kern w:val="0"/>
                <w:lang w:val="en-US" w:eastAsia="zh-CN"/>
              </w:rPr>
            </w:pPr>
            <w:r>
              <w:rPr>
                <w:rFonts w:hint="eastAsia"/>
                <w:spacing w:val="-1"/>
                <w:kern w:val="0"/>
                <w:lang w:eastAsia="zh-CN"/>
              </w:rPr>
              <w:t>按照</w:t>
            </w:r>
            <w:r>
              <w:rPr>
                <w:rFonts w:hint="eastAsia"/>
                <w:spacing w:val="-1"/>
                <w:kern w:val="0"/>
                <w:lang w:val="en-US" w:eastAsia="zh-CN"/>
              </w:rPr>
              <w:t>免疫细胞线粒体功能</w:t>
            </w:r>
            <w:r>
              <w:rPr>
                <w:rFonts w:hint="eastAsia"/>
                <w:spacing w:val="-1"/>
                <w:kern w:val="0"/>
                <w:lang w:eastAsia="zh-CN"/>
              </w:rPr>
              <w:t>检测项目流式操作平台（SOP）标准进行检验，投标时提供SOP标准全文</w:t>
            </w:r>
          </w:p>
        </w:tc>
      </w:tr>
      <w:tr w14:paraId="2280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center"/>
          </w:tcPr>
          <w:p w14:paraId="70D727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1.5.5</w:t>
            </w:r>
          </w:p>
        </w:tc>
        <w:tc>
          <w:tcPr>
            <w:tcW w:w="8662" w:type="dxa"/>
            <w:noWrap w:val="0"/>
            <w:vAlign w:val="center"/>
          </w:tcPr>
          <w:p w14:paraId="0C090F06">
            <w:pPr>
              <w:pStyle w:val="98"/>
              <w:autoSpaceDE w:val="0"/>
              <w:autoSpaceDN w:val="0"/>
              <w:spacing w:before="179" w:line="308" w:lineRule="auto"/>
              <w:ind w:left="122" w:right="85" w:hanging="7"/>
              <w:rPr>
                <w:rFonts w:hint="eastAsia"/>
                <w:spacing w:val="-1"/>
                <w:kern w:val="0"/>
                <w:lang w:val="en-US" w:eastAsia="zh-CN"/>
              </w:rPr>
            </w:pPr>
            <w:r>
              <w:rPr>
                <w:rFonts w:hint="eastAsia"/>
                <w:spacing w:val="-1"/>
                <w:kern w:val="0"/>
                <w:lang w:eastAsia="zh-CN"/>
              </w:rPr>
              <w:t>软件系统可进行自动判读与报告单输出。</w:t>
            </w:r>
          </w:p>
        </w:tc>
      </w:tr>
      <w:tr w14:paraId="6D97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center"/>
          </w:tcPr>
          <w:p w14:paraId="26B689E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1.6</w:t>
            </w:r>
          </w:p>
        </w:tc>
        <w:tc>
          <w:tcPr>
            <w:tcW w:w="8662" w:type="dxa"/>
            <w:noWrap w:val="0"/>
            <w:vAlign w:val="center"/>
          </w:tcPr>
          <w:p w14:paraId="2EA90BDD">
            <w:pPr>
              <w:pStyle w:val="98"/>
              <w:autoSpaceDE w:val="0"/>
              <w:autoSpaceDN w:val="0"/>
              <w:spacing w:before="179" w:line="308" w:lineRule="auto"/>
              <w:ind w:left="122" w:right="85" w:hanging="7"/>
              <w:rPr>
                <w:rFonts w:hint="eastAsia"/>
                <w:spacing w:val="-1"/>
                <w:kern w:val="0"/>
                <w:lang w:val="en-US" w:eastAsia="zh-CN"/>
              </w:rPr>
            </w:pPr>
            <w:r>
              <w:rPr>
                <w:rFonts w:hint="eastAsia"/>
                <w:spacing w:val="-1"/>
                <w:kern w:val="0"/>
                <w:lang w:val="en-US" w:eastAsia="zh-CN"/>
              </w:rPr>
              <w:t>调节抑制性T细胞功能检测服务技术要求：</w:t>
            </w:r>
          </w:p>
        </w:tc>
      </w:tr>
      <w:tr w14:paraId="153CD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center"/>
          </w:tcPr>
          <w:p w14:paraId="23AF3CD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1.6.1</w:t>
            </w:r>
          </w:p>
        </w:tc>
        <w:tc>
          <w:tcPr>
            <w:tcW w:w="8662" w:type="dxa"/>
            <w:noWrap w:val="0"/>
            <w:vAlign w:val="center"/>
          </w:tcPr>
          <w:p w14:paraId="1DACBCC3">
            <w:pPr>
              <w:pStyle w:val="98"/>
              <w:autoSpaceDE w:val="0"/>
              <w:autoSpaceDN w:val="0"/>
              <w:spacing w:before="179" w:line="308" w:lineRule="auto"/>
              <w:ind w:left="122" w:right="85" w:hanging="7"/>
              <w:rPr>
                <w:rFonts w:hint="eastAsia"/>
                <w:spacing w:val="-1"/>
                <w:kern w:val="0"/>
                <w:lang w:val="en-US" w:eastAsia="zh-CN"/>
              </w:rPr>
            </w:pPr>
            <w:r>
              <w:rPr>
                <w:rFonts w:hint="eastAsia"/>
                <w:spacing w:val="-1"/>
                <w:kern w:val="0"/>
                <w:lang w:val="en-US" w:eastAsia="zh-CN"/>
              </w:rPr>
              <w:t>项目所需试剂（CD）清单及对应的医疗器械注册证或备案凭证</w:t>
            </w:r>
          </w:p>
        </w:tc>
      </w:tr>
      <w:tr w14:paraId="5469B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center"/>
          </w:tcPr>
          <w:p w14:paraId="615F590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1.6.2</w:t>
            </w:r>
          </w:p>
        </w:tc>
        <w:tc>
          <w:tcPr>
            <w:tcW w:w="8662" w:type="dxa"/>
            <w:noWrap w:val="0"/>
            <w:vAlign w:val="center"/>
          </w:tcPr>
          <w:p w14:paraId="66E1CD71">
            <w:pPr>
              <w:pStyle w:val="98"/>
              <w:autoSpaceDE w:val="0"/>
              <w:autoSpaceDN w:val="0"/>
              <w:spacing w:before="179" w:line="308" w:lineRule="auto"/>
              <w:ind w:left="122" w:right="85" w:hanging="7"/>
              <w:rPr>
                <w:rFonts w:hint="eastAsia"/>
                <w:spacing w:val="-1"/>
                <w:kern w:val="0"/>
                <w:lang w:val="en-US" w:eastAsia="zh-CN"/>
              </w:rPr>
            </w:pPr>
            <w:r>
              <w:rPr>
                <w:rFonts w:hint="eastAsia"/>
                <w:spacing w:val="-1"/>
                <w:kern w:val="0"/>
                <w:lang w:val="en-US" w:eastAsia="zh-CN"/>
              </w:rPr>
              <w:t>提供额外的细分群指标（Treg细胞需要通过CD45ro和CD45ra再分群），细胞需通过CD127进行检测</w:t>
            </w:r>
          </w:p>
        </w:tc>
      </w:tr>
      <w:tr w14:paraId="05D89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center"/>
          </w:tcPr>
          <w:p w14:paraId="183996A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1.6.3</w:t>
            </w:r>
          </w:p>
        </w:tc>
        <w:tc>
          <w:tcPr>
            <w:tcW w:w="8662" w:type="dxa"/>
            <w:noWrap w:val="0"/>
            <w:vAlign w:val="center"/>
          </w:tcPr>
          <w:p w14:paraId="23B062F7">
            <w:pPr>
              <w:pStyle w:val="98"/>
              <w:autoSpaceDE w:val="0"/>
              <w:autoSpaceDN w:val="0"/>
              <w:spacing w:before="179" w:line="308" w:lineRule="auto"/>
              <w:ind w:left="122" w:right="85" w:hanging="7"/>
              <w:rPr>
                <w:rFonts w:hint="eastAsia"/>
                <w:spacing w:val="-1"/>
                <w:kern w:val="0"/>
                <w:lang w:val="en-US" w:eastAsia="zh-CN"/>
              </w:rPr>
            </w:pPr>
            <w:r>
              <w:rPr>
                <w:rFonts w:hint="eastAsia"/>
                <w:spacing w:val="-1"/>
                <w:kern w:val="0"/>
                <w:lang w:eastAsia="zh-CN"/>
              </w:rPr>
              <w:t>按照</w:t>
            </w:r>
            <w:r>
              <w:rPr>
                <w:rFonts w:hint="eastAsia"/>
                <w:spacing w:val="-1"/>
                <w:kern w:val="0"/>
                <w:lang w:val="en-US" w:eastAsia="zh-CN"/>
              </w:rPr>
              <w:t>调节抑制性T细胞功能</w:t>
            </w:r>
            <w:r>
              <w:rPr>
                <w:rFonts w:hint="eastAsia"/>
                <w:spacing w:val="-1"/>
                <w:kern w:val="0"/>
                <w:lang w:eastAsia="zh-CN"/>
              </w:rPr>
              <w:t>检测项目流式操作平台（SOP）标准进行检验，投标时提供SOP标准全文</w:t>
            </w:r>
          </w:p>
        </w:tc>
      </w:tr>
      <w:tr w14:paraId="71FAF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center"/>
          </w:tcPr>
          <w:p w14:paraId="65C830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1.6.4</w:t>
            </w:r>
          </w:p>
        </w:tc>
        <w:tc>
          <w:tcPr>
            <w:tcW w:w="8662" w:type="dxa"/>
            <w:noWrap w:val="0"/>
            <w:vAlign w:val="center"/>
          </w:tcPr>
          <w:p w14:paraId="3A8778E5">
            <w:pPr>
              <w:pStyle w:val="98"/>
              <w:autoSpaceDE w:val="0"/>
              <w:autoSpaceDN w:val="0"/>
              <w:spacing w:before="179" w:line="308" w:lineRule="auto"/>
              <w:ind w:left="122" w:right="85" w:hanging="7"/>
              <w:rPr>
                <w:rFonts w:hint="eastAsia"/>
                <w:spacing w:val="-1"/>
                <w:kern w:val="0"/>
                <w:lang w:val="en-US" w:eastAsia="zh-CN"/>
              </w:rPr>
            </w:pPr>
            <w:r>
              <w:rPr>
                <w:rFonts w:hint="eastAsia"/>
                <w:spacing w:val="-1"/>
                <w:kern w:val="0"/>
                <w:lang w:eastAsia="zh-CN"/>
              </w:rPr>
              <w:t>软件系统可进行自动判读与报告单输出</w:t>
            </w:r>
          </w:p>
        </w:tc>
      </w:tr>
      <w:tr w14:paraId="50406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top"/>
          </w:tcPr>
          <w:p w14:paraId="11B2062E">
            <w:pPr>
              <w:pStyle w:val="98"/>
              <w:autoSpaceDE w:val="0"/>
              <w:autoSpaceDN w:val="0"/>
              <w:spacing w:before="182" w:line="229" w:lineRule="auto"/>
              <w:ind w:left="118"/>
              <w:rPr>
                <w:rFonts w:hint="default" w:eastAsia="新宋体"/>
                <w:kern w:val="0"/>
                <w:lang w:val="en-US" w:eastAsia="zh-CN"/>
              </w:rPr>
            </w:pPr>
            <w:r>
              <w:rPr>
                <w:rFonts w:hint="eastAsia"/>
                <w:spacing w:val="-4"/>
                <w:kern w:val="0"/>
                <w:lang w:val="en-US" w:eastAsia="zh-CN"/>
              </w:rPr>
              <w:t>1.7</w:t>
            </w:r>
          </w:p>
        </w:tc>
        <w:tc>
          <w:tcPr>
            <w:tcW w:w="8662" w:type="dxa"/>
            <w:noWrap w:val="0"/>
            <w:vAlign w:val="top"/>
          </w:tcPr>
          <w:p w14:paraId="26C23DEF">
            <w:pPr>
              <w:pStyle w:val="98"/>
              <w:autoSpaceDE w:val="0"/>
              <w:autoSpaceDN w:val="0"/>
              <w:spacing w:before="179" w:line="308" w:lineRule="auto"/>
              <w:ind w:left="122" w:right="85" w:hanging="7"/>
              <w:rPr>
                <w:rFonts w:hint="eastAsia"/>
                <w:spacing w:val="-1"/>
                <w:kern w:val="0"/>
                <w:lang w:eastAsia="zh-CN"/>
              </w:rPr>
            </w:pPr>
            <w:r>
              <w:rPr>
                <w:rFonts w:hint="eastAsia"/>
                <w:spacing w:val="-1"/>
                <w:kern w:val="0"/>
                <w:lang w:eastAsia="zh-CN"/>
              </w:rPr>
              <w:t>Th 辅助细胞亚群检测服务技术要求：</w:t>
            </w:r>
          </w:p>
        </w:tc>
      </w:tr>
      <w:tr w14:paraId="70FC4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5" w:type="dxa"/>
            <w:noWrap w:val="0"/>
            <w:vAlign w:val="top"/>
          </w:tcPr>
          <w:p w14:paraId="18AC2E19">
            <w:pPr>
              <w:pStyle w:val="98"/>
              <w:autoSpaceDE w:val="0"/>
              <w:autoSpaceDN w:val="0"/>
              <w:spacing w:before="182" w:line="238" w:lineRule="auto"/>
              <w:ind w:left="123"/>
              <w:rPr>
                <w:rFonts w:hint="default" w:eastAsia="新宋体"/>
                <w:kern w:val="0"/>
                <w:lang w:val="en-US" w:eastAsia="zh-CN"/>
              </w:rPr>
            </w:pPr>
            <w:r>
              <w:rPr>
                <w:rFonts w:hint="eastAsia"/>
                <w:spacing w:val="-3"/>
                <w:kern w:val="0"/>
                <w:lang w:eastAsia="zh-CN"/>
              </w:rPr>
              <w:t>△</w:t>
            </w:r>
            <w:r>
              <w:rPr>
                <w:rFonts w:hint="eastAsia"/>
                <w:spacing w:val="-3"/>
                <w:kern w:val="0"/>
                <w:lang w:val="en-US" w:eastAsia="zh-CN"/>
              </w:rPr>
              <w:t>1.7.1</w:t>
            </w:r>
          </w:p>
        </w:tc>
        <w:tc>
          <w:tcPr>
            <w:tcW w:w="8662" w:type="dxa"/>
            <w:noWrap w:val="0"/>
            <w:vAlign w:val="top"/>
          </w:tcPr>
          <w:p w14:paraId="7BA082A8">
            <w:pPr>
              <w:pStyle w:val="98"/>
              <w:autoSpaceDE w:val="0"/>
              <w:autoSpaceDN w:val="0"/>
              <w:spacing w:before="179" w:line="308" w:lineRule="auto"/>
              <w:ind w:left="122" w:right="85" w:hanging="7"/>
              <w:rPr>
                <w:rFonts w:hint="eastAsia"/>
                <w:spacing w:val="-1"/>
                <w:kern w:val="0"/>
                <w:lang w:eastAsia="zh-CN"/>
              </w:rPr>
            </w:pPr>
            <w:r>
              <w:rPr>
                <w:rFonts w:hint="eastAsia"/>
                <w:spacing w:val="-1"/>
                <w:kern w:val="0"/>
                <w:lang w:eastAsia="zh-CN"/>
              </w:rPr>
              <w:t>投标时需提供项目所需试剂（必须包含 CD183、CD185、CD194、CD196）清单及对应的厂家医疗器械注册证或备案凭证（投标时提供证明文件）</w:t>
            </w:r>
          </w:p>
        </w:tc>
      </w:tr>
      <w:tr w14:paraId="7119D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5" w:type="dxa"/>
            <w:noWrap w:val="0"/>
            <w:vAlign w:val="top"/>
          </w:tcPr>
          <w:p w14:paraId="72DA729C">
            <w:pPr>
              <w:pStyle w:val="98"/>
              <w:autoSpaceDE w:val="0"/>
              <w:autoSpaceDN w:val="0"/>
              <w:spacing w:before="183" w:line="238" w:lineRule="auto"/>
              <w:ind w:left="123"/>
              <w:rPr>
                <w:rFonts w:hint="default" w:eastAsia="新宋体"/>
                <w:kern w:val="0"/>
                <w:lang w:val="en-US" w:eastAsia="zh-CN"/>
              </w:rPr>
            </w:pPr>
            <w:r>
              <w:rPr>
                <w:rFonts w:hint="eastAsia"/>
                <w:spacing w:val="-3"/>
                <w:kern w:val="0"/>
                <w:lang w:val="en-US" w:eastAsia="zh-CN"/>
              </w:rPr>
              <w:t>1.7.2</w:t>
            </w:r>
          </w:p>
        </w:tc>
        <w:tc>
          <w:tcPr>
            <w:tcW w:w="8662" w:type="dxa"/>
            <w:noWrap w:val="0"/>
            <w:vAlign w:val="top"/>
          </w:tcPr>
          <w:p w14:paraId="74CC5D34">
            <w:pPr>
              <w:pStyle w:val="98"/>
              <w:autoSpaceDE w:val="0"/>
              <w:autoSpaceDN w:val="0"/>
              <w:spacing w:before="179" w:line="308" w:lineRule="auto"/>
              <w:ind w:left="122" w:right="85" w:hanging="7"/>
              <w:rPr>
                <w:rFonts w:hint="eastAsia"/>
                <w:spacing w:val="-1"/>
                <w:kern w:val="0"/>
                <w:lang w:eastAsia="zh-CN"/>
              </w:rPr>
            </w:pPr>
            <w:r>
              <w:rPr>
                <w:rFonts w:hint="eastAsia"/>
                <w:spacing w:val="-1"/>
                <w:kern w:val="0"/>
                <w:lang w:eastAsia="zh-CN"/>
              </w:rPr>
              <w:t>提供辅助性 T 细胞的亚群细分指标（报告单模版），细胞需通过 CD183、CD194、CD196分群</w:t>
            </w:r>
          </w:p>
        </w:tc>
      </w:tr>
      <w:tr w14:paraId="279D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15" w:type="dxa"/>
            <w:noWrap w:val="0"/>
            <w:vAlign w:val="top"/>
          </w:tcPr>
          <w:p w14:paraId="2507020D">
            <w:pPr>
              <w:pStyle w:val="98"/>
              <w:autoSpaceDE w:val="0"/>
              <w:autoSpaceDN w:val="0"/>
              <w:spacing w:before="183" w:line="238" w:lineRule="auto"/>
              <w:ind w:left="123"/>
              <w:rPr>
                <w:rFonts w:hint="default" w:eastAsia="新宋体"/>
                <w:kern w:val="0"/>
                <w:lang w:val="en-US" w:eastAsia="zh-CN"/>
              </w:rPr>
            </w:pPr>
            <w:r>
              <w:rPr>
                <w:rFonts w:hint="eastAsia"/>
                <w:spacing w:val="-3"/>
                <w:kern w:val="0"/>
                <w:lang w:val="en-US" w:eastAsia="zh-CN"/>
              </w:rPr>
              <w:t>1.7.3</w:t>
            </w:r>
          </w:p>
        </w:tc>
        <w:tc>
          <w:tcPr>
            <w:tcW w:w="8662" w:type="dxa"/>
            <w:noWrap w:val="0"/>
            <w:vAlign w:val="top"/>
          </w:tcPr>
          <w:p w14:paraId="6CDEBEA3">
            <w:pPr>
              <w:autoSpaceDE w:val="0"/>
              <w:autoSpaceDN w:val="0"/>
              <w:spacing w:before="150" w:line="287" w:lineRule="auto"/>
              <w:ind w:left="114" w:right="106"/>
              <w:rPr>
                <w:rFonts w:ascii="宋体" w:hAnsi="宋体" w:eastAsia="宋体" w:cs="宋体"/>
                <w:kern w:val="0"/>
                <w:sz w:val="22"/>
                <w:szCs w:val="22"/>
              </w:rPr>
            </w:pPr>
            <w:r>
              <w:rPr>
                <w:rFonts w:ascii="宋体" w:hAnsi="宋体" w:eastAsia="宋体" w:cs="宋体"/>
                <w:spacing w:val="1"/>
                <w:kern w:val="0"/>
                <w:sz w:val="22"/>
                <w:szCs w:val="22"/>
              </w:rPr>
              <w:t>按照</w:t>
            </w:r>
            <w:r>
              <w:rPr>
                <w:rFonts w:ascii="宋体" w:hAnsi="宋体" w:eastAsia="宋体" w:cs="宋体"/>
                <w:spacing w:val="-46"/>
                <w:kern w:val="0"/>
                <w:sz w:val="22"/>
                <w:szCs w:val="22"/>
              </w:rPr>
              <w:t xml:space="preserve"> </w:t>
            </w:r>
            <w:r>
              <w:rPr>
                <w:rFonts w:ascii="宋体" w:hAnsi="宋体" w:eastAsia="宋体" w:cs="宋体"/>
                <w:kern w:val="0"/>
                <w:sz w:val="22"/>
                <w:szCs w:val="22"/>
              </w:rPr>
              <w:t>Th</w:t>
            </w:r>
            <w:r>
              <w:rPr>
                <w:rFonts w:ascii="宋体" w:hAnsi="宋体" w:eastAsia="宋体" w:cs="宋体"/>
                <w:spacing w:val="-45"/>
                <w:kern w:val="0"/>
                <w:sz w:val="22"/>
                <w:szCs w:val="22"/>
              </w:rPr>
              <w:t xml:space="preserve"> </w:t>
            </w:r>
            <w:r>
              <w:rPr>
                <w:rFonts w:ascii="宋体" w:hAnsi="宋体" w:eastAsia="宋体" w:cs="宋体"/>
                <w:spacing w:val="1"/>
                <w:kern w:val="0"/>
                <w:sz w:val="22"/>
                <w:szCs w:val="22"/>
              </w:rPr>
              <w:t>辅助细胞亚群检测项目流式操作平台（</w:t>
            </w:r>
            <w:r>
              <w:rPr>
                <w:rFonts w:ascii="宋体" w:hAnsi="宋体" w:eastAsia="宋体" w:cs="宋体"/>
                <w:kern w:val="0"/>
                <w:sz w:val="22"/>
                <w:szCs w:val="22"/>
              </w:rPr>
              <w:t>SOP</w:t>
            </w:r>
            <w:r>
              <w:rPr>
                <w:rFonts w:ascii="宋体" w:hAnsi="宋体" w:eastAsia="宋体" w:cs="宋体"/>
                <w:spacing w:val="1"/>
                <w:kern w:val="0"/>
                <w:sz w:val="22"/>
                <w:szCs w:val="22"/>
              </w:rPr>
              <w:t>）标准进行检验，投标时提供</w:t>
            </w:r>
            <w:r>
              <w:rPr>
                <w:rFonts w:ascii="宋体" w:hAnsi="宋体" w:eastAsia="宋体" w:cs="宋体"/>
                <w:spacing w:val="-45"/>
                <w:kern w:val="0"/>
                <w:sz w:val="22"/>
                <w:szCs w:val="22"/>
              </w:rPr>
              <w:t xml:space="preserve"> </w:t>
            </w:r>
            <w:r>
              <w:rPr>
                <w:rFonts w:ascii="宋体" w:hAnsi="宋体" w:eastAsia="宋体" w:cs="宋体"/>
                <w:kern w:val="0"/>
                <w:sz w:val="22"/>
                <w:szCs w:val="22"/>
              </w:rPr>
              <w:t>SOP</w:t>
            </w:r>
            <w:r>
              <w:rPr>
                <w:rFonts w:ascii="宋体" w:hAnsi="宋体" w:eastAsia="宋体" w:cs="宋体"/>
                <w:spacing w:val="-43"/>
                <w:kern w:val="0"/>
                <w:sz w:val="22"/>
                <w:szCs w:val="22"/>
              </w:rPr>
              <w:t xml:space="preserve"> </w:t>
            </w:r>
            <w:r>
              <w:rPr>
                <w:rFonts w:ascii="宋体" w:hAnsi="宋体" w:eastAsia="宋体" w:cs="宋体"/>
                <w:spacing w:val="1"/>
                <w:kern w:val="0"/>
                <w:sz w:val="22"/>
                <w:szCs w:val="22"/>
              </w:rPr>
              <w:t>标</w:t>
            </w:r>
            <w:r>
              <w:rPr>
                <w:rFonts w:ascii="宋体" w:hAnsi="宋体" w:eastAsia="宋体" w:cs="宋体"/>
                <w:spacing w:val="-3"/>
                <w:kern w:val="0"/>
                <w:sz w:val="22"/>
                <w:szCs w:val="22"/>
              </w:rPr>
              <w:t>准全文。</w:t>
            </w:r>
          </w:p>
        </w:tc>
      </w:tr>
      <w:tr w14:paraId="147E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15" w:type="dxa"/>
            <w:noWrap w:val="0"/>
            <w:vAlign w:val="top"/>
          </w:tcPr>
          <w:p w14:paraId="0A824C96">
            <w:pPr>
              <w:pStyle w:val="98"/>
              <w:autoSpaceDE w:val="0"/>
              <w:autoSpaceDN w:val="0"/>
              <w:spacing w:before="183" w:line="228" w:lineRule="auto"/>
              <w:ind w:left="118"/>
              <w:rPr>
                <w:rFonts w:hint="default" w:eastAsia="新宋体"/>
                <w:kern w:val="0"/>
                <w:lang w:val="en-US" w:eastAsia="zh-CN"/>
              </w:rPr>
            </w:pPr>
            <w:r>
              <w:rPr>
                <w:rFonts w:hint="eastAsia"/>
                <w:spacing w:val="-2"/>
                <w:kern w:val="0"/>
                <w:lang w:val="en-US" w:eastAsia="zh-CN"/>
              </w:rPr>
              <w:t>1.7.4</w:t>
            </w:r>
          </w:p>
        </w:tc>
        <w:tc>
          <w:tcPr>
            <w:tcW w:w="8662" w:type="dxa"/>
            <w:noWrap w:val="0"/>
            <w:vAlign w:val="top"/>
          </w:tcPr>
          <w:p w14:paraId="3A8CF7CB">
            <w:pPr>
              <w:autoSpaceDE w:val="0"/>
              <w:autoSpaceDN w:val="0"/>
              <w:spacing w:before="170" w:line="219" w:lineRule="auto"/>
              <w:ind w:left="115"/>
              <w:rPr>
                <w:rFonts w:ascii="宋体" w:hAnsi="宋体" w:eastAsia="宋体" w:cs="宋体"/>
                <w:kern w:val="0"/>
                <w:sz w:val="22"/>
                <w:szCs w:val="22"/>
              </w:rPr>
            </w:pPr>
            <w:r>
              <w:rPr>
                <w:rFonts w:ascii="宋体" w:hAnsi="宋体" w:eastAsia="宋体" w:cs="宋体"/>
                <w:spacing w:val="-1"/>
                <w:kern w:val="0"/>
                <w:sz w:val="22"/>
                <w:szCs w:val="22"/>
              </w:rPr>
              <w:t>软件系统可进行自动判读与报告单输出。</w:t>
            </w:r>
          </w:p>
        </w:tc>
      </w:tr>
      <w:tr w14:paraId="19DE1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15" w:type="dxa"/>
            <w:noWrap w:val="0"/>
            <w:vAlign w:val="center"/>
          </w:tcPr>
          <w:p w14:paraId="5C680A4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2"/>
                <w:szCs w:val="22"/>
                <w:highlight w:val="none"/>
                <w:lang w:val="en-US" w:eastAsia="zh-CN" w:bidi="ar-SA"/>
              </w:rPr>
            </w:pPr>
            <w:r>
              <w:rPr>
                <w:rFonts w:hint="eastAsia" w:ascii="Times New Roman" w:hAnsi="Times New Roman" w:eastAsia="宋体" w:cs="Times New Roman"/>
                <w:spacing w:val="-3"/>
                <w:kern w:val="0"/>
                <w:sz w:val="20"/>
                <w:szCs w:val="20"/>
                <w:highlight w:val="none"/>
                <w:lang w:eastAsia="zh-CN"/>
              </w:rPr>
              <w:t>△</w:t>
            </w:r>
            <w:r>
              <w:rPr>
                <w:rFonts w:hint="eastAsia" w:ascii="宋体" w:hAnsi="宋体" w:eastAsia="宋体" w:cs="宋体"/>
                <w:kern w:val="0"/>
                <w:sz w:val="22"/>
                <w:szCs w:val="22"/>
                <w:highlight w:val="none"/>
                <w:lang w:val="en-US" w:eastAsia="zh-CN"/>
              </w:rPr>
              <w:t>1.8</w:t>
            </w:r>
          </w:p>
        </w:tc>
        <w:tc>
          <w:tcPr>
            <w:tcW w:w="8662" w:type="dxa"/>
            <w:noWrap w:val="0"/>
            <w:vAlign w:val="center"/>
          </w:tcPr>
          <w:p w14:paraId="12BF37DF">
            <w:pPr>
              <w:pStyle w:val="98"/>
              <w:autoSpaceDE w:val="0"/>
              <w:autoSpaceDN w:val="0"/>
              <w:spacing w:before="179" w:line="308" w:lineRule="auto"/>
              <w:ind w:left="122" w:leftChars="0" w:right="85" w:rightChars="0" w:hanging="7" w:firstLineChars="0"/>
              <w:rPr>
                <w:rFonts w:hint="eastAsia" w:ascii="新宋体" w:hAnsi="新宋体" w:eastAsia="新宋体" w:cs="新宋体"/>
                <w:spacing w:val="-1"/>
                <w:kern w:val="0"/>
                <w:sz w:val="22"/>
                <w:szCs w:val="22"/>
                <w:highlight w:val="none"/>
                <w:lang w:val="en-US" w:eastAsia="zh-CN" w:bidi="ar-SA"/>
              </w:rPr>
            </w:pPr>
            <w:r>
              <w:rPr>
                <w:rFonts w:hint="eastAsia"/>
                <w:spacing w:val="-1"/>
                <w:kern w:val="0"/>
                <w:highlight w:val="none"/>
                <w:lang w:val="en-US" w:eastAsia="zh-CN"/>
              </w:rPr>
              <w:t>分别</w:t>
            </w:r>
            <w:r>
              <w:rPr>
                <w:rFonts w:hint="eastAsia"/>
                <w:spacing w:val="-1"/>
                <w:kern w:val="0"/>
                <w:highlight w:val="none"/>
                <w:lang w:eastAsia="zh-CN"/>
              </w:rPr>
              <w:t>提供</w:t>
            </w:r>
            <w:r>
              <w:rPr>
                <w:rFonts w:hint="eastAsia"/>
                <w:spacing w:val="-1"/>
                <w:kern w:val="0"/>
                <w:highlight w:val="none"/>
                <w:lang w:val="en-US" w:eastAsia="zh-CN"/>
              </w:rPr>
              <w:t>四个项目试剂性能验证报告，包含准确度、批内精密度、日内精密度、稀释线性、参考范围等。</w:t>
            </w:r>
          </w:p>
        </w:tc>
      </w:tr>
      <w:tr w14:paraId="5B87D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15" w:type="dxa"/>
            <w:noWrap w:val="0"/>
            <w:vAlign w:val="top"/>
          </w:tcPr>
          <w:p w14:paraId="377C6193">
            <w:pPr>
              <w:pStyle w:val="98"/>
              <w:autoSpaceDE w:val="0"/>
              <w:autoSpaceDN w:val="0"/>
              <w:spacing w:before="182" w:line="230" w:lineRule="auto"/>
              <w:ind w:left="118"/>
              <w:rPr>
                <w:rFonts w:hint="eastAsia" w:eastAsia="新宋体"/>
                <w:kern w:val="0"/>
                <w:lang w:eastAsia="zh-CN"/>
              </w:rPr>
            </w:pPr>
            <w:r>
              <w:rPr>
                <w:rFonts w:hint="eastAsia"/>
                <w:spacing w:val="-4"/>
                <w:kern w:val="0"/>
                <w:lang w:eastAsia="zh-CN"/>
              </w:rPr>
              <w:t>1.9</w:t>
            </w:r>
          </w:p>
        </w:tc>
        <w:tc>
          <w:tcPr>
            <w:tcW w:w="8662" w:type="dxa"/>
            <w:noWrap w:val="0"/>
            <w:vAlign w:val="top"/>
          </w:tcPr>
          <w:p w14:paraId="4D303298">
            <w:pPr>
              <w:pStyle w:val="98"/>
              <w:autoSpaceDE w:val="0"/>
              <w:autoSpaceDN w:val="0"/>
              <w:spacing w:before="183" w:line="220" w:lineRule="auto"/>
              <w:ind w:left="113"/>
              <w:rPr>
                <w:kern w:val="0"/>
              </w:rPr>
            </w:pPr>
            <w:r>
              <w:rPr>
                <w:spacing w:val="-1"/>
                <w:kern w:val="0"/>
              </w:rPr>
              <w:t>检测实验室技术能力要求：</w:t>
            </w:r>
          </w:p>
        </w:tc>
      </w:tr>
      <w:tr w14:paraId="2885D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15" w:type="dxa"/>
            <w:noWrap w:val="0"/>
            <w:vAlign w:val="top"/>
          </w:tcPr>
          <w:p w14:paraId="1D05BACF">
            <w:pPr>
              <w:pStyle w:val="98"/>
              <w:autoSpaceDE w:val="0"/>
              <w:autoSpaceDN w:val="0"/>
              <w:spacing w:before="184" w:line="238" w:lineRule="auto"/>
              <w:ind w:left="123" w:leftChars="0"/>
              <w:rPr>
                <w:rFonts w:hint="default" w:ascii="新宋体" w:hAnsi="新宋体" w:eastAsia="新宋体" w:cs="新宋体"/>
                <w:kern w:val="0"/>
                <w:sz w:val="22"/>
                <w:szCs w:val="22"/>
                <w:lang w:val="en-US" w:eastAsia="zh-CN" w:bidi="ar-SA"/>
              </w:rPr>
            </w:pPr>
            <w:r>
              <w:rPr>
                <w:rFonts w:hint="eastAsia"/>
                <w:spacing w:val="-3"/>
                <w:kern w:val="0"/>
                <w:lang w:eastAsia="zh-CN"/>
              </w:rPr>
              <w:t>△</w:t>
            </w:r>
            <w:r>
              <w:rPr>
                <w:rFonts w:hint="eastAsia"/>
                <w:spacing w:val="-3"/>
                <w:kern w:val="0"/>
                <w:lang w:val="en-US" w:eastAsia="zh-CN"/>
              </w:rPr>
              <w:t>1.9.1</w:t>
            </w:r>
          </w:p>
        </w:tc>
        <w:tc>
          <w:tcPr>
            <w:tcW w:w="8662" w:type="dxa"/>
            <w:noWrap w:val="0"/>
            <w:vAlign w:val="top"/>
          </w:tcPr>
          <w:p w14:paraId="4FBA1222">
            <w:pPr>
              <w:pStyle w:val="98"/>
              <w:autoSpaceDE w:val="0"/>
              <w:autoSpaceDN w:val="0"/>
              <w:spacing w:before="184" w:line="308" w:lineRule="auto"/>
              <w:ind w:left="116" w:leftChars="0" w:right="106" w:rightChars="0"/>
              <w:rPr>
                <w:rFonts w:ascii="新宋体" w:hAnsi="新宋体" w:eastAsia="新宋体" w:cs="新宋体"/>
                <w:kern w:val="0"/>
                <w:sz w:val="22"/>
                <w:szCs w:val="22"/>
                <w:lang w:val="en-US" w:eastAsia="en-US" w:bidi="ar-SA"/>
              </w:rPr>
            </w:pPr>
            <w:r>
              <w:rPr>
                <w:spacing w:val="2"/>
                <w:kern w:val="0"/>
              </w:rPr>
              <w:t>具备招标项目检测过程的质控方案。有开展室内质控，可提供室内质控图。</w:t>
            </w:r>
            <w:r>
              <w:rPr>
                <w:spacing w:val="1"/>
                <w:kern w:val="0"/>
              </w:rPr>
              <w:t>投标时提供</w:t>
            </w:r>
            <w:r>
              <w:rPr>
                <w:spacing w:val="-1"/>
                <w:kern w:val="0"/>
              </w:rPr>
              <w:t>室内质控图及实际质评报告（投标时列明方案或证明材料）。</w:t>
            </w:r>
          </w:p>
        </w:tc>
      </w:tr>
      <w:tr w14:paraId="27427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15" w:type="dxa"/>
            <w:noWrap w:val="0"/>
            <w:vAlign w:val="top"/>
          </w:tcPr>
          <w:p w14:paraId="1E8B7F4A">
            <w:pPr>
              <w:pStyle w:val="98"/>
              <w:autoSpaceDE w:val="0"/>
              <w:autoSpaceDN w:val="0"/>
              <w:spacing w:before="178"/>
              <w:ind w:left="118" w:leftChars="0"/>
              <w:rPr>
                <w:rFonts w:hint="default" w:ascii="新宋体" w:hAnsi="新宋体" w:eastAsia="新宋体" w:cs="新宋体"/>
                <w:kern w:val="0"/>
                <w:sz w:val="22"/>
                <w:szCs w:val="22"/>
                <w:lang w:val="en-US" w:eastAsia="zh-CN" w:bidi="ar-SA"/>
              </w:rPr>
            </w:pPr>
            <w:r>
              <w:rPr>
                <w:rFonts w:hint="eastAsia"/>
                <w:spacing w:val="-2"/>
                <w:kern w:val="0"/>
                <w:lang w:val="en-US" w:eastAsia="zh-CN"/>
              </w:rPr>
              <w:t>1.9.2</w:t>
            </w:r>
          </w:p>
        </w:tc>
        <w:tc>
          <w:tcPr>
            <w:tcW w:w="8662" w:type="dxa"/>
            <w:noWrap w:val="0"/>
            <w:vAlign w:val="top"/>
          </w:tcPr>
          <w:p w14:paraId="45DF84D3">
            <w:pPr>
              <w:pStyle w:val="98"/>
              <w:autoSpaceDE w:val="0"/>
              <w:autoSpaceDN w:val="0"/>
              <w:spacing w:before="179" w:line="308" w:lineRule="auto"/>
              <w:ind w:left="114" w:leftChars="0" w:right="106" w:rightChars="0" w:firstLine="1" w:firstLineChars="0"/>
              <w:rPr>
                <w:rFonts w:ascii="新宋体" w:hAnsi="新宋体" w:eastAsia="新宋体" w:cs="新宋体"/>
                <w:kern w:val="0"/>
                <w:sz w:val="22"/>
                <w:szCs w:val="22"/>
                <w:lang w:val="en-US" w:eastAsia="en-US" w:bidi="ar-SA"/>
              </w:rPr>
            </w:pPr>
            <w:r>
              <w:rPr>
                <w:spacing w:val="-1"/>
                <w:kern w:val="0"/>
              </w:rPr>
              <w:t>投标人提供此次外送项目所涉及检测仪器清单(注明品牌型号）、购置合同或发票。（投标时须提供证明资料）。</w:t>
            </w:r>
          </w:p>
        </w:tc>
      </w:tr>
      <w:tr w14:paraId="24D9E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15" w:type="dxa"/>
            <w:noWrap w:val="0"/>
            <w:vAlign w:val="top"/>
          </w:tcPr>
          <w:p w14:paraId="3926B808">
            <w:pPr>
              <w:pStyle w:val="98"/>
              <w:autoSpaceDE w:val="0"/>
              <w:autoSpaceDN w:val="0"/>
              <w:spacing w:before="180"/>
              <w:ind w:left="118" w:leftChars="0"/>
              <w:rPr>
                <w:rFonts w:hint="default" w:ascii="新宋体" w:hAnsi="新宋体" w:eastAsia="新宋体" w:cs="新宋体"/>
                <w:kern w:val="0"/>
                <w:sz w:val="22"/>
                <w:szCs w:val="22"/>
                <w:lang w:val="en-US" w:eastAsia="zh-CN" w:bidi="ar-SA"/>
              </w:rPr>
            </w:pPr>
            <w:r>
              <w:rPr>
                <w:rFonts w:hint="eastAsia"/>
                <w:spacing w:val="-2"/>
                <w:kern w:val="0"/>
                <w:lang w:val="en-US" w:eastAsia="zh-CN"/>
              </w:rPr>
              <w:t>1.9.3</w:t>
            </w:r>
          </w:p>
        </w:tc>
        <w:tc>
          <w:tcPr>
            <w:tcW w:w="8662" w:type="dxa"/>
            <w:noWrap w:val="0"/>
            <w:vAlign w:val="top"/>
          </w:tcPr>
          <w:p w14:paraId="6673B70B">
            <w:pPr>
              <w:pStyle w:val="98"/>
              <w:autoSpaceDE w:val="0"/>
              <w:autoSpaceDN w:val="0"/>
              <w:spacing w:before="182" w:line="307" w:lineRule="auto"/>
              <w:ind w:left="112" w:leftChars="0" w:right="106" w:rightChars="0" w:firstLine="3" w:firstLineChars="0"/>
              <w:rPr>
                <w:rFonts w:ascii="新宋体" w:hAnsi="新宋体" w:eastAsia="新宋体" w:cs="新宋体"/>
                <w:kern w:val="0"/>
                <w:sz w:val="22"/>
                <w:szCs w:val="22"/>
                <w:lang w:val="en-US" w:eastAsia="en-US" w:bidi="ar-SA"/>
              </w:rPr>
            </w:pPr>
            <w:r>
              <w:rPr>
                <w:spacing w:val="2"/>
                <w:kern w:val="0"/>
              </w:rPr>
              <w:t>投标人提供检验项目对应的检测使用的试剂清单（以表格形式，包括注册证号、</w:t>
            </w:r>
            <w:r>
              <w:rPr>
                <w:spacing w:val="1"/>
                <w:kern w:val="0"/>
              </w:rPr>
              <w:t>试剂名</w:t>
            </w:r>
            <w:r>
              <w:rPr>
                <w:spacing w:val="-1"/>
                <w:kern w:val="0"/>
              </w:rPr>
              <w:t>称、试剂厂商等字段）。</w:t>
            </w:r>
          </w:p>
        </w:tc>
      </w:tr>
      <w:tr w14:paraId="597F2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15" w:type="dxa"/>
            <w:noWrap w:val="0"/>
            <w:vAlign w:val="top"/>
          </w:tcPr>
          <w:p w14:paraId="3628C5DC">
            <w:pPr>
              <w:pStyle w:val="98"/>
              <w:autoSpaceDE w:val="0"/>
              <w:autoSpaceDN w:val="0"/>
              <w:spacing w:before="181" w:line="238" w:lineRule="auto"/>
              <w:ind w:left="123" w:leftChars="0"/>
              <w:rPr>
                <w:rFonts w:hint="default" w:ascii="新宋体" w:hAnsi="新宋体" w:eastAsia="新宋体" w:cs="新宋体"/>
                <w:kern w:val="0"/>
                <w:sz w:val="22"/>
                <w:szCs w:val="22"/>
                <w:lang w:val="en-US" w:eastAsia="zh-CN" w:bidi="ar-SA"/>
              </w:rPr>
            </w:pPr>
            <w:r>
              <w:rPr>
                <w:rFonts w:hint="eastAsia"/>
                <w:spacing w:val="-3"/>
                <w:kern w:val="0"/>
                <w:lang w:eastAsia="zh-CN"/>
              </w:rPr>
              <w:t>△</w:t>
            </w:r>
            <w:r>
              <w:rPr>
                <w:rFonts w:hint="eastAsia"/>
                <w:spacing w:val="-4"/>
                <w:kern w:val="0"/>
                <w:lang w:val="en-US" w:eastAsia="zh-CN"/>
              </w:rPr>
              <w:t>1.9.4</w:t>
            </w:r>
          </w:p>
        </w:tc>
        <w:tc>
          <w:tcPr>
            <w:tcW w:w="8662" w:type="dxa"/>
            <w:noWrap w:val="0"/>
            <w:vAlign w:val="top"/>
          </w:tcPr>
          <w:p w14:paraId="6F07EA84">
            <w:pPr>
              <w:pStyle w:val="98"/>
              <w:autoSpaceDE w:val="0"/>
              <w:autoSpaceDN w:val="0"/>
              <w:spacing w:before="179" w:line="308" w:lineRule="auto"/>
              <w:ind w:left="114" w:leftChars="0" w:right="106" w:rightChars="0" w:firstLine="2" w:firstLineChars="0"/>
              <w:rPr>
                <w:rFonts w:ascii="新宋体" w:hAnsi="新宋体" w:eastAsia="新宋体" w:cs="新宋体"/>
                <w:kern w:val="0"/>
                <w:sz w:val="22"/>
                <w:szCs w:val="22"/>
                <w:lang w:val="en-US" w:eastAsia="en-US" w:bidi="ar-SA"/>
              </w:rPr>
            </w:pPr>
            <w:r>
              <w:rPr>
                <w:strike w:val="0"/>
                <w:dstrike w:val="0"/>
                <w:spacing w:val="3"/>
                <w:kern w:val="0"/>
                <w:highlight w:val="none"/>
              </w:rPr>
              <w:t>与采购人单位</w:t>
            </w:r>
            <w:r>
              <w:rPr>
                <w:strike w:val="0"/>
                <w:dstrike w:val="0"/>
                <w:kern w:val="0"/>
                <w:highlight w:val="none"/>
              </w:rPr>
              <w:t>LIS</w:t>
            </w:r>
            <w:r>
              <w:rPr>
                <w:strike w:val="0"/>
                <w:dstrike w:val="0"/>
                <w:spacing w:val="-40"/>
                <w:kern w:val="0"/>
                <w:highlight w:val="none"/>
              </w:rPr>
              <w:t xml:space="preserve"> </w:t>
            </w:r>
            <w:r>
              <w:rPr>
                <w:strike w:val="0"/>
                <w:dstrike w:val="0"/>
                <w:spacing w:val="3"/>
                <w:kern w:val="0"/>
                <w:highlight w:val="none"/>
              </w:rPr>
              <w:t>系统对接，提供数据对接方案（实验室智慧医疗系统</w:t>
            </w:r>
            <w:r>
              <w:rPr>
                <w:strike w:val="0"/>
                <w:dstrike w:val="0"/>
                <w:spacing w:val="7"/>
                <w:kern w:val="0"/>
                <w:highlight w:val="none"/>
              </w:rPr>
              <w:t>），</w:t>
            </w:r>
            <w:r>
              <w:rPr>
                <w:strike w:val="0"/>
                <w:dstrike w:val="0"/>
                <w:spacing w:val="2"/>
                <w:kern w:val="0"/>
                <w:highlight w:val="none"/>
              </w:rPr>
              <w:t>接口相关费</w:t>
            </w:r>
            <w:r>
              <w:rPr>
                <w:strike w:val="0"/>
                <w:dstrike w:val="0"/>
                <w:spacing w:val="1"/>
                <w:kern w:val="0"/>
                <w:highlight w:val="none"/>
              </w:rPr>
              <w:t>用（不超过</w:t>
            </w:r>
            <w:r>
              <w:rPr>
                <w:rFonts w:hint="eastAsia"/>
                <w:strike w:val="0"/>
                <w:dstrike w:val="0"/>
                <w:spacing w:val="1"/>
                <w:kern w:val="0"/>
                <w:highlight w:val="none"/>
                <w:lang w:val="en-US" w:eastAsia="zh-CN"/>
              </w:rPr>
              <w:t>2</w:t>
            </w:r>
            <w:r>
              <w:rPr>
                <w:strike w:val="0"/>
                <w:dstrike w:val="0"/>
                <w:spacing w:val="1"/>
                <w:kern w:val="0"/>
                <w:highlight w:val="none"/>
              </w:rPr>
              <w:t>万元）由中标单位支付。</w:t>
            </w:r>
          </w:p>
        </w:tc>
      </w:tr>
      <w:tr w14:paraId="1775D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15" w:type="dxa"/>
            <w:noWrap w:val="0"/>
            <w:vAlign w:val="top"/>
          </w:tcPr>
          <w:p w14:paraId="73C07863">
            <w:pPr>
              <w:pStyle w:val="98"/>
              <w:autoSpaceDE w:val="0"/>
              <w:autoSpaceDN w:val="0"/>
              <w:spacing w:before="183" w:line="228" w:lineRule="auto"/>
              <w:ind w:left="118" w:leftChars="0"/>
              <w:rPr>
                <w:rFonts w:hint="default" w:ascii="新宋体" w:hAnsi="新宋体" w:eastAsia="新宋体" w:cs="新宋体"/>
                <w:kern w:val="0"/>
                <w:sz w:val="22"/>
                <w:szCs w:val="22"/>
                <w:lang w:val="en-US" w:eastAsia="zh-CN" w:bidi="ar-SA"/>
              </w:rPr>
            </w:pPr>
            <w:r>
              <w:rPr>
                <w:rFonts w:hint="eastAsia"/>
                <w:spacing w:val="-4"/>
                <w:kern w:val="0"/>
                <w:lang w:val="en-US" w:eastAsia="zh-CN"/>
              </w:rPr>
              <w:t>1.10</w:t>
            </w:r>
          </w:p>
        </w:tc>
        <w:tc>
          <w:tcPr>
            <w:tcW w:w="8662" w:type="dxa"/>
            <w:noWrap w:val="0"/>
            <w:vAlign w:val="top"/>
          </w:tcPr>
          <w:p w14:paraId="7D97EF54">
            <w:pPr>
              <w:pStyle w:val="98"/>
              <w:autoSpaceDE w:val="0"/>
              <w:autoSpaceDN w:val="0"/>
              <w:spacing w:before="183" w:line="220" w:lineRule="auto"/>
              <w:ind w:left="113" w:leftChars="0"/>
              <w:rPr>
                <w:rFonts w:ascii="新宋体" w:hAnsi="新宋体" w:eastAsia="新宋体" w:cs="新宋体"/>
                <w:kern w:val="0"/>
                <w:sz w:val="22"/>
                <w:szCs w:val="22"/>
                <w:lang w:val="en-US" w:eastAsia="en-US" w:bidi="ar-SA"/>
              </w:rPr>
            </w:pPr>
            <w:r>
              <w:rPr>
                <w:spacing w:val="-2"/>
                <w:kern w:val="0"/>
              </w:rPr>
              <w:t>物流运输要求：</w:t>
            </w:r>
          </w:p>
        </w:tc>
      </w:tr>
      <w:tr w14:paraId="3295F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15" w:type="dxa"/>
            <w:noWrap w:val="0"/>
            <w:vAlign w:val="top"/>
          </w:tcPr>
          <w:p w14:paraId="50FDF83C">
            <w:pPr>
              <w:pStyle w:val="98"/>
              <w:autoSpaceDE w:val="0"/>
              <w:autoSpaceDN w:val="0"/>
              <w:spacing w:before="183"/>
              <w:ind w:left="118" w:leftChars="0"/>
              <w:rPr>
                <w:rFonts w:hint="default" w:ascii="新宋体" w:hAnsi="新宋体" w:eastAsia="新宋体" w:cs="新宋体"/>
                <w:kern w:val="0"/>
                <w:sz w:val="22"/>
                <w:szCs w:val="22"/>
                <w:lang w:val="en-US" w:eastAsia="zh-CN" w:bidi="ar-SA"/>
              </w:rPr>
            </w:pPr>
            <w:r>
              <w:rPr>
                <w:rFonts w:hint="eastAsia"/>
                <w:spacing w:val="-2"/>
                <w:kern w:val="0"/>
                <w:lang w:val="en-US" w:eastAsia="zh-CN"/>
              </w:rPr>
              <w:t>1.10.1</w:t>
            </w:r>
          </w:p>
        </w:tc>
        <w:tc>
          <w:tcPr>
            <w:tcW w:w="8662" w:type="dxa"/>
            <w:noWrap w:val="0"/>
            <w:vAlign w:val="top"/>
          </w:tcPr>
          <w:p w14:paraId="597D3F76">
            <w:pPr>
              <w:pStyle w:val="98"/>
              <w:autoSpaceDE w:val="0"/>
              <w:autoSpaceDN w:val="0"/>
              <w:spacing w:before="184" w:line="306" w:lineRule="auto"/>
              <w:ind w:left="111" w:leftChars="0" w:right="106" w:rightChars="0" w:firstLine="6" w:firstLineChars="0"/>
              <w:rPr>
                <w:rFonts w:ascii="新宋体" w:hAnsi="新宋体" w:eastAsia="新宋体" w:cs="新宋体"/>
                <w:kern w:val="0"/>
                <w:sz w:val="22"/>
                <w:szCs w:val="22"/>
                <w:lang w:val="en-US" w:eastAsia="en-US" w:bidi="ar-SA"/>
              </w:rPr>
            </w:pPr>
            <w:r>
              <w:rPr>
                <w:spacing w:val="2"/>
                <w:kern w:val="0"/>
              </w:rPr>
              <w:t>具备完成检测项目的服务能力，需提供完整的服务方案，技术优势及独特性</w:t>
            </w:r>
            <w:r>
              <w:rPr>
                <w:spacing w:val="1"/>
                <w:kern w:val="0"/>
              </w:rPr>
              <w:t>介绍。包括</w:t>
            </w:r>
            <w:r>
              <w:rPr>
                <w:kern w:val="0"/>
              </w:rPr>
              <w:t>但不限于运输过程的温度监控信息、标本接</w:t>
            </w:r>
            <w:r>
              <w:rPr>
                <w:spacing w:val="-1"/>
                <w:kern w:val="0"/>
              </w:rPr>
              <w:t>收转运信息等。</w:t>
            </w:r>
          </w:p>
        </w:tc>
      </w:tr>
      <w:tr w14:paraId="0A799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15" w:type="dxa"/>
            <w:noWrap w:val="0"/>
            <w:vAlign w:val="top"/>
          </w:tcPr>
          <w:p w14:paraId="42D57CA4">
            <w:pPr>
              <w:pStyle w:val="98"/>
              <w:autoSpaceDE w:val="0"/>
              <w:autoSpaceDN w:val="0"/>
              <w:spacing w:before="182"/>
              <w:ind w:left="118" w:leftChars="0"/>
              <w:rPr>
                <w:rFonts w:hint="default" w:ascii="新宋体" w:hAnsi="新宋体" w:eastAsia="新宋体" w:cs="新宋体"/>
                <w:kern w:val="0"/>
                <w:sz w:val="22"/>
                <w:szCs w:val="22"/>
                <w:lang w:val="en-US" w:eastAsia="zh-CN" w:bidi="ar-SA"/>
              </w:rPr>
            </w:pPr>
            <w:r>
              <w:rPr>
                <w:rFonts w:hint="eastAsia"/>
                <w:spacing w:val="-2"/>
                <w:kern w:val="0"/>
                <w:lang w:val="en-US" w:eastAsia="zh-CN"/>
              </w:rPr>
              <w:t>1.10.2</w:t>
            </w:r>
          </w:p>
        </w:tc>
        <w:tc>
          <w:tcPr>
            <w:tcW w:w="8662" w:type="dxa"/>
            <w:noWrap w:val="0"/>
            <w:vAlign w:val="top"/>
          </w:tcPr>
          <w:p w14:paraId="0E100883">
            <w:pPr>
              <w:pStyle w:val="98"/>
              <w:autoSpaceDE w:val="0"/>
              <w:autoSpaceDN w:val="0"/>
              <w:spacing w:before="182" w:line="309" w:lineRule="auto"/>
              <w:ind w:left="114" w:leftChars="0" w:right="106" w:rightChars="0"/>
              <w:rPr>
                <w:rFonts w:ascii="新宋体" w:hAnsi="新宋体" w:eastAsia="新宋体" w:cs="新宋体"/>
                <w:kern w:val="0"/>
                <w:sz w:val="22"/>
                <w:szCs w:val="22"/>
                <w:lang w:val="en-US" w:eastAsia="en-US" w:bidi="ar-SA"/>
              </w:rPr>
            </w:pPr>
            <w:r>
              <w:rPr>
                <w:spacing w:val="2"/>
                <w:kern w:val="0"/>
              </w:rPr>
              <w:t>有专人负责外送项目流程，提供样本采集、保存、运输（包括但不限于样本温度和</w:t>
            </w:r>
            <w:r>
              <w:rPr>
                <w:spacing w:val="1"/>
                <w:kern w:val="0"/>
              </w:rPr>
              <w:t>接收</w:t>
            </w:r>
            <w:r>
              <w:rPr>
                <w:spacing w:val="-1"/>
                <w:kern w:val="0"/>
              </w:rPr>
              <w:t>转运信息等）、质控等信息，并提供技术支持及培训方案。</w:t>
            </w:r>
          </w:p>
        </w:tc>
      </w:tr>
    </w:tbl>
    <w:p w14:paraId="19910131">
      <w:pPr>
        <w:spacing w:before="104" w:line="219" w:lineRule="auto"/>
        <w:jc w:val="left"/>
        <w:outlineLvl w:val="0"/>
        <w:rPr>
          <w:rFonts w:hint="eastAsia" w:ascii="新宋体" w:hAnsi="新宋体" w:eastAsia="新宋体" w:cs="新宋体"/>
          <w:b/>
          <w:bCs/>
          <w:spacing w:val="-3"/>
          <w:kern w:val="0"/>
          <w:sz w:val="22"/>
          <w:szCs w:val="22"/>
          <w:lang w:eastAsia="zh-CN"/>
        </w:rPr>
      </w:pPr>
    </w:p>
    <w:p w14:paraId="7AA77C6F">
      <w:pPr>
        <w:spacing w:before="180" w:line="219" w:lineRule="auto"/>
        <w:outlineLvl w:val="1"/>
        <w:rPr>
          <w:rFonts w:ascii="新宋体" w:hAnsi="新宋体" w:eastAsia="新宋体" w:cs="新宋体"/>
          <w:b/>
          <w:bCs/>
          <w:spacing w:val="-4"/>
          <w:kern w:val="0"/>
          <w:sz w:val="22"/>
          <w:szCs w:val="22"/>
        </w:rPr>
      </w:pPr>
      <w:r>
        <w:rPr>
          <w:rFonts w:hint="eastAsia" w:ascii="新宋体" w:hAnsi="新宋体" w:eastAsia="新宋体" w:cs="新宋体"/>
          <w:b/>
          <w:bCs/>
          <w:spacing w:val="-3"/>
          <w:kern w:val="0"/>
          <w:sz w:val="22"/>
          <w:szCs w:val="22"/>
          <w:lang w:eastAsia="zh-CN"/>
        </w:rPr>
        <w:t>（</w:t>
      </w:r>
      <w:r>
        <w:rPr>
          <w:rFonts w:hint="eastAsia" w:ascii="新宋体" w:hAnsi="新宋体" w:eastAsia="新宋体" w:cs="新宋体"/>
          <w:b/>
          <w:bCs/>
          <w:spacing w:val="-3"/>
          <w:kern w:val="0"/>
          <w:sz w:val="22"/>
          <w:szCs w:val="22"/>
          <w:lang w:val="en-US" w:eastAsia="zh-CN"/>
        </w:rPr>
        <w:t>三</w:t>
      </w:r>
      <w:r>
        <w:rPr>
          <w:rFonts w:hint="eastAsia" w:ascii="新宋体" w:hAnsi="新宋体" w:eastAsia="新宋体" w:cs="新宋体"/>
          <w:b/>
          <w:bCs/>
          <w:spacing w:val="-3"/>
          <w:kern w:val="0"/>
          <w:sz w:val="22"/>
          <w:szCs w:val="22"/>
          <w:lang w:eastAsia="zh-CN"/>
        </w:rPr>
        <w:t>）</w:t>
      </w:r>
      <w:r>
        <w:rPr>
          <w:rFonts w:ascii="新宋体" w:hAnsi="新宋体" w:eastAsia="新宋体" w:cs="新宋体"/>
          <w:b/>
          <w:bCs/>
          <w:spacing w:val="-4"/>
          <w:kern w:val="0"/>
          <w:sz w:val="22"/>
          <w:szCs w:val="22"/>
        </w:rPr>
        <w:t>委托外送检验项目常用清单</w:t>
      </w:r>
    </w:p>
    <w:p w14:paraId="4ABE009F">
      <w:pPr>
        <w:spacing w:line="18" w:lineRule="exact"/>
        <w:rPr>
          <w:rFonts w:ascii="Times New Roman" w:hAnsi="Times New Roman" w:eastAsia="宋体" w:cs="Times New Roman"/>
          <w:kern w:val="0"/>
          <w:sz w:val="20"/>
          <w:szCs w:val="20"/>
        </w:rPr>
      </w:pPr>
    </w:p>
    <w:tbl>
      <w:tblPr>
        <w:tblStyle w:val="53"/>
        <w:tblW w:w="503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9"/>
        <w:gridCol w:w="2501"/>
        <w:gridCol w:w="1592"/>
        <w:gridCol w:w="1952"/>
        <w:gridCol w:w="1428"/>
        <w:gridCol w:w="1478"/>
      </w:tblGrid>
      <w:tr w14:paraId="464A3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84" w:type="pct"/>
            <w:noWrap w:val="0"/>
            <w:vAlign w:val="center"/>
          </w:tcPr>
          <w:p w14:paraId="26852D4A">
            <w:pPr>
              <w:pStyle w:val="98"/>
              <w:autoSpaceDE w:val="0"/>
              <w:autoSpaceDN w:val="0"/>
              <w:spacing w:before="53" w:line="214" w:lineRule="auto"/>
              <w:ind w:left="65"/>
              <w:jc w:val="center"/>
              <w:rPr>
                <w:b/>
                <w:bCs/>
                <w:kern w:val="0"/>
                <w:sz w:val="22"/>
                <w:szCs w:val="22"/>
              </w:rPr>
            </w:pPr>
            <w:r>
              <w:rPr>
                <w:b/>
                <w:bCs/>
                <w:spacing w:val="-2"/>
                <w:kern w:val="0"/>
                <w:sz w:val="22"/>
                <w:szCs w:val="22"/>
              </w:rPr>
              <w:t>序号</w:t>
            </w:r>
          </w:p>
        </w:tc>
        <w:tc>
          <w:tcPr>
            <w:tcW w:w="1317" w:type="pct"/>
            <w:noWrap w:val="0"/>
            <w:vAlign w:val="center"/>
          </w:tcPr>
          <w:p w14:paraId="76855CF2">
            <w:pPr>
              <w:pStyle w:val="98"/>
              <w:autoSpaceDE w:val="0"/>
              <w:autoSpaceDN w:val="0"/>
              <w:spacing w:before="53" w:line="214" w:lineRule="auto"/>
              <w:ind w:left="71"/>
              <w:jc w:val="center"/>
              <w:rPr>
                <w:b/>
                <w:bCs/>
                <w:kern w:val="0"/>
                <w:sz w:val="22"/>
                <w:szCs w:val="22"/>
              </w:rPr>
            </w:pPr>
            <w:r>
              <w:rPr>
                <w:b/>
                <w:bCs/>
                <w:spacing w:val="2"/>
                <w:kern w:val="0"/>
                <w:sz w:val="22"/>
                <w:szCs w:val="22"/>
              </w:rPr>
              <w:t>项目名称</w:t>
            </w:r>
          </w:p>
        </w:tc>
        <w:tc>
          <w:tcPr>
            <w:tcW w:w="838" w:type="pct"/>
            <w:noWrap w:val="0"/>
            <w:vAlign w:val="center"/>
          </w:tcPr>
          <w:p w14:paraId="22DE17DD">
            <w:pPr>
              <w:pStyle w:val="98"/>
              <w:autoSpaceDE w:val="0"/>
              <w:autoSpaceDN w:val="0"/>
              <w:spacing w:before="53" w:line="214" w:lineRule="auto"/>
              <w:ind w:left="73"/>
              <w:jc w:val="center"/>
              <w:rPr>
                <w:b/>
                <w:bCs/>
                <w:kern w:val="0"/>
                <w:sz w:val="22"/>
                <w:szCs w:val="22"/>
              </w:rPr>
            </w:pPr>
            <w:r>
              <w:rPr>
                <w:b/>
                <w:bCs/>
                <w:spacing w:val="2"/>
                <w:kern w:val="0"/>
                <w:sz w:val="22"/>
                <w:szCs w:val="22"/>
              </w:rPr>
              <w:t>具体细项</w:t>
            </w:r>
          </w:p>
        </w:tc>
        <w:tc>
          <w:tcPr>
            <w:tcW w:w="1028" w:type="pct"/>
            <w:noWrap w:val="0"/>
            <w:vAlign w:val="center"/>
          </w:tcPr>
          <w:p w14:paraId="62A81D7F">
            <w:pPr>
              <w:pStyle w:val="98"/>
              <w:autoSpaceDE w:val="0"/>
              <w:autoSpaceDN w:val="0"/>
              <w:spacing w:before="51" w:line="216" w:lineRule="auto"/>
              <w:ind w:left="85"/>
              <w:jc w:val="center"/>
              <w:rPr>
                <w:b/>
                <w:bCs/>
                <w:kern w:val="0"/>
                <w:sz w:val="22"/>
                <w:szCs w:val="22"/>
              </w:rPr>
            </w:pPr>
            <w:r>
              <w:rPr>
                <w:b/>
                <w:bCs/>
                <w:spacing w:val="1"/>
                <w:kern w:val="0"/>
                <w:sz w:val="22"/>
                <w:szCs w:val="22"/>
              </w:rPr>
              <w:t>医院收费价格/元</w:t>
            </w:r>
          </w:p>
        </w:tc>
        <w:tc>
          <w:tcPr>
            <w:tcW w:w="752" w:type="pct"/>
            <w:noWrap w:val="0"/>
            <w:vAlign w:val="center"/>
          </w:tcPr>
          <w:p w14:paraId="4A17A421">
            <w:pPr>
              <w:pStyle w:val="98"/>
              <w:autoSpaceDE w:val="0"/>
              <w:autoSpaceDN w:val="0"/>
              <w:spacing w:before="51" w:line="216" w:lineRule="auto"/>
              <w:ind w:left="97"/>
              <w:jc w:val="center"/>
              <w:rPr>
                <w:b/>
                <w:bCs/>
                <w:kern w:val="0"/>
                <w:sz w:val="22"/>
                <w:szCs w:val="22"/>
              </w:rPr>
            </w:pPr>
            <w:r>
              <w:rPr>
                <w:b/>
                <w:bCs/>
                <w:spacing w:val="4"/>
                <w:kern w:val="0"/>
                <w:sz w:val="22"/>
                <w:szCs w:val="22"/>
              </w:rPr>
              <w:t>出具报告时间(天)</w:t>
            </w:r>
          </w:p>
        </w:tc>
        <w:tc>
          <w:tcPr>
            <w:tcW w:w="778" w:type="pct"/>
            <w:noWrap w:val="0"/>
            <w:vAlign w:val="center"/>
          </w:tcPr>
          <w:p w14:paraId="5D8B54B6">
            <w:pPr>
              <w:pStyle w:val="98"/>
              <w:autoSpaceDE w:val="0"/>
              <w:autoSpaceDN w:val="0"/>
              <w:spacing w:before="51" w:line="216" w:lineRule="auto"/>
              <w:ind w:left="97"/>
              <w:jc w:val="center"/>
              <w:rPr>
                <w:rFonts w:hint="default" w:eastAsia="宋体"/>
                <w:b/>
                <w:bCs/>
                <w:spacing w:val="4"/>
                <w:kern w:val="0"/>
                <w:sz w:val="22"/>
                <w:szCs w:val="22"/>
                <w:lang w:val="en-US" w:eastAsia="zh-CN"/>
              </w:rPr>
            </w:pPr>
            <w:r>
              <w:rPr>
                <w:rFonts w:hint="eastAsia"/>
                <w:b/>
                <w:bCs/>
                <w:spacing w:val="4"/>
                <w:kern w:val="0"/>
                <w:sz w:val="22"/>
                <w:szCs w:val="22"/>
                <w:lang w:val="en-US" w:eastAsia="zh-CN"/>
              </w:rPr>
              <w:t>年预估测试数</w:t>
            </w:r>
          </w:p>
        </w:tc>
      </w:tr>
      <w:tr w14:paraId="07F9C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restart"/>
            <w:tcBorders>
              <w:bottom w:val="nil"/>
            </w:tcBorders>
            <w:noWrap w:val="0"/>
            <w:vAlign w:val="top"/>
          </w:tcPr>
          <w:p w14:paraId="2A5968B1">
            <w:pPr>
              <w:autoSpaceDE w:val="0"/>
              <w:autoSpaceDN w:val="0"/>
              <w:spacing w:line="276" w:lineRule="auto"/>
              <w:jc w:val="center"/>
              <w:rPr>
                <w:rFonts w:ascii="Arial" w:hAnsi="Times New Roman" w:eastAsia="宋体" w:cs="Times New Roman"/>
                <w:kern w:val="0"/>
                <w:sz w:val="22"/>
                <w:szCs w:val="22"/>
              </w:rPr>
            </w:pPr>
          </w:p>
          <w:p w14:paraId="09C55DF1">
            <w:pPr>
              <w:autoSpaceDE w:val="0"/>
              <w:autoSpaceDN w:val="0"/>
              <w:spacing w:line="276" w:lineRule="auto"/>
              <w:jc w:val="center"/>
              <w:rPr>
                <w:rFonts w:ascii="Arial" w:hAnsi="Times New Roman" w:eastAsia="宋体" w:cs="Times New Roman"/>
                <w:kern w:val="0"/>
                <w:sz w:val="22"/>
                <w:szCs w:val="22"/>
              </w:rPr>
            </w:pPr>
          </w:p>
          <w:p w14:paraId="7184A427">
            <w:pPr>
              <w:pStyle w:val="98"/>
              <w:autoSpaceDE w:val="0"/>
              <w:autoSpaceDN w:val="0"/>
              <w:spacing w:before="62" w:line="241" w:lineRule="auto"/>
              <w:ind w:left="65"/>
              <w:jc w:val="center"/>
              <w:rPr>
                <w:kern w:val="0"/>
                <w:sz w:val="22"/>
                <w:szCs w:val="22"/>
              </w:rPr>
            </w:pPr>
            <w:r>
              <w:rPr>
                <w:kern w:val="0"/>
                <w:sz w:val="22"/>
                <w:szCs w:val="22"/>
              </w:rPr>
              <w:t>1</w:t>
            </w:r>
          </w:p>
        </w:tc>
        <w:tc>
          <w:tcPr>
            <w:tcW w:w="1317" w:type="pct"/>
            <w:vMerge w:val="restart"/>
            <w:tcBorders>
              <w:bottom w:val="nil"/>
            </w:tcBorders>
            <w:noWrap w:val="0"/>
            <w:vAlign w:val="top"/>
          </w:tcPr>
          <w:p w14:paraId="16627043">
            <w:pPr>
              <w:autoSpaceDE w:val="0"/>
              <w:autoSpaceDN w:val="0"/>
              <w:spacing w:line="266" w:lineRule="auto"/>
              <w:jc w:val="center"/>
              <w:rPr>
                <w:rFonts w:ascii="Arial" w:hAnsi="Times New Roman" w:eastAsia="宋体" w:cs="Times New Roman"/>
                <w:kern w:val="0"/>
                <w:sz w:val="22"/>
                <w:szCs w:val="22"/>
              </w:rPr>
            </w:pPr>
          </w:p>
          <w:p w14:paraId="34EBDD96">
            <w:pPr>
              <w:autoSpaceDE w:val="0"/>
              <w:autoSpaceDN w:val="0"/>
              <w:spacing w:line="267" w:lineRule="auto"/>
              <w:jc w:val="center"/>
              <w:rPr>
                <w:rFonts w:ascii="Arial" w:hAnsi="Times New Roman" w:eastAsia="宋体" w:cs="Times New Roman"/>
                <w:kern w:val="0"/>
                <w:sz w:val="22"/>
                <w:szCs w:val="22"/>
              </w:rPr>
            </w:pPr>
          </w:p>
          <w:p w14:paraId="0102D32B">
            <w:pPr>
              <w:pStyle w:val="98"/>
              <w:autoSpaceDE w:val="0"/>
              <w:autoSpaceDN w:val="0"/>
              <w:spacing w:before="62" w:line="219" w:lineRule="auto"/>
              <w:ind w:left="71"/>
              <w:jc w:val="center"/>
              <w:rPr>
                <w:kern w:val="0"/>
                <w:sz w:val="22"/>
                <w:szCs w:val="22"/>
              </w:rPr>
            </w:pPr>
            <w:r>
              <w:rPr>
                <w:spacing w:val="1"/>
                <w:kern w:val="0"/>
                <w:sz w:val="22"/>
                <w:szCs w:val="22"/>
              </w:rPr>
              <w:t>抗感染细胞功能检测</w:t>
            </w:r>
          </w:p>
        </w:tc>
        <w:tc>
          <w:tcPr>
            <w:tcW w:w="838" w:type="pct"/>
            <w:noWrap w:val="0"/>
            <w:vAlign w:val="top"/>
          </w:tcPr>
          <w:p w14:paraId="19D000DA">
            <w:pPr>
              <w:pStyle w:val="98"/>
              <w:autoSpaceDE w:val="0"/>
              <w:autoSpaceDN w:val="0"/>
              <w:spacing w:before="88" w:line="166" w:lineRule="auto"/>
              <w:ind w:left="73"/>
              <w:jc w:val="center"/>
              <w:rPr>
                <w:kern w:val="0"/>
                <w:sz w:val="22"/>
                <w:szCs w:val="22"/>
              </w:rPr>
            </w:pPr>
            <w:r>
              <w:rPr>
                <w:spacing w:val="-2"/>
                <w:kern w:val="0"/>
                <w:sz w:val="22"/>
                <w:szCs w:val="22"/>
              </w:rPr>
              <w:t>CD45</w:t>
            </w:r>
          </w:p>
        </w:tc>
        <w:tc>
          <w:tcPr>
            <w:tcW w:w="1028" w:type="pct"/>
            <w:vMerge w:val="restart"/>
            <w:tcBorders>
              <w:bottom w:val="nil"/>
            </w:tcBorders>
            <w:noWrap w:val="0"/>
            <w:vAlign w:val="center"/>
          </w:tcPr>
          <w:p w14:paraId="3EF8D826">
            <w:pPr>
              <w:autoSpaceDE w:val="0"/>
              <w:autoSpaceDN w:val="0"/>
              <w:spacing w:line="276" w:lineRule="auto"/>
              <w:jc w:val="center"/>
              <w:rPr>
                <w:rFonts w:ascii="Arial" w:hAnsi="Times New Roman" w:eastAsia="宋体" w:cs="Times New Roman"/>
                <w:kern w:val="0"/>
                <w:sz w:val="22"/>
                <w:szCs w:val="22"/>
              </w:rPr>
            </w:pPr>
          </w:p>
          <w:p w14:paraId="6D2E67A3">
            <w:pPr>
              <w:autoSpaceDE w:val="0"/>
              <w:autoSpaceDN w:val="0"/>
              <w:spacing w:line="276" w:lineRule="auto"/>
              <w:jc w:val="center"/>
              <w:rPr>
                <w:rFonts w:ascii="Arial" w:hAnsi="Times New Roman" w:eastAsia="宋体" w:cs="Times New Roman"/>
                <w:kern w:val="0"/>
                <w:sz w:val="22"/>
                <w:szCs w:val="22"/>
              </w:rPr>
            </w:pPr>
          </w:p>
          <w:p w14:paraId="1CCC379D">
            <w:pPr>
              <w:pStyle w:val="98"/>
              <w:autoSpaceDE w:val="0"/>
              <w:autoSpaceDN w:val="0"/>
              <w:spacing w:before="61"/>
              <w:ind w:left="85"/>
              <w:jc w:val="center"/>
              <w:rPr>
                <w:kern w:val="0"/>
                <w:sz w:val="22"/>
                <w:szCs w:val="22"/>
              </w:rPr>
            </w:pPr>
            <w:r>
              <w:rPr>
                <w:spacing w:val="-3"/>
                <w:kern w:val="0"/>
                <w:sz w:val="22"/>
                <w:szCs w:val="22"/>
              </w:rPr>
              <w:t>250</w:t>
            </w:r>
          </w:p>
        </w:tc>
        <w:tc>
          <w:tcPr>
            <w:tcW w:w="752" w:type="pct"/>
            <w:vMerge w:val="restart"/>
            <w:tcBorders>
              <w:bottom w:val="nil"/>
            </w:tcBorders>
            <w:noWrap w:val="0"/>
            <w:vAlign w:val="top"/>
          </w:tcPr>
          <w:p w14:paraId="7C716D9C">
            <w:pPr>
              <w:autoSpaceDE w:val="0"/>
              <w:autoSpaceDN w:val="0"/>
              <w:spacing w:line="266" w:lineRule="auto"/>
              <w:jc w:val="center"/>
              <w:rPr>
                <w:rFonts w:ascii="Arial" w:hAnsi="Times New Roman" w:eastAsia="宋体" w:cs="Times New Roman"/>
                <w:kern w:val="0"/>
                <w:sz w:val="22"/>
                <w:szCs w:val="22"/>
              </w:rPr>
            </w:pPr>
          </w:p>
          <w:p w14:paraId="481EEEBA">
            <w:pPr>
              <w:autoSpaceDE w:val="0"/>
              <w:autoSpaceDN w:val="0"/>
              <w:spacing w:line="267" w:lineRule="auto"/>
              <w:jc w:val="center"/>
              <w:rPr>
                <w:rFonts w:ascii="Arial" w:hAnsi="Times New Roman" w:eastAsia="宋体" w:cs="Times New Roman"/>
                <w:kern w:val="0"/>
                <w:sz w:val="22"/>
                <w:szCs w:val="22"/>
              </w:rPr>
            </w:pPr>
          </w:p>
          <w:p w14:paraId="40A6F81C">
            <w:pPr>
              <w:pStyle w:val="98"/>
              <w:autoSpaceDE w:val="0"/>
              <w:autoSpaceDN w:val="0"/>
              <w:spacing w:before="62" w:line="219" w:lineRule="auto"/>
              <w:ind w:left="97"/>
              <w:jc w:val="center"/>
              <w:rPr>
                <w:kern w:val="0"/>
                <w:sz w:val="22"/>
                <w:szCs w:val="22"/>
              </w:rPr>
            </w:pPr>
            <w:r>
              <w:rPr>
                <w:spacing w:val="7"/>
                <w:kern w:val="0"/>
                <w:sz w:val="22"/>
                <w:szCs w:val="22"/>
              </w:rPr>
              <w:t>3个工作日</w:t>
            </w:r>
          </w:p>
          <w:p w14:paraId="275B1983">
            <w:pPr>
              <w:autoSpaceDE w:val="0"/>
              <w:autoSpaceDN w:val="0"/>
              <w:spacing w:line="380" w:lineRule="auto"/>
              <w:jc w:val="center"/>
              <w:rPr>
                <w:rFonts w:ascii="Arial" w:hAnsi="Times New Roman" w:eastAsia="宋体" w:cs="Times New Roman"/>
                <w:kern w:val="0"/>
                <w:sz w:val="22"/>
                <w:szCs w:val="22"/>
              </w:rPr>
            </w:pPr>
          </w:p>
          <w:p w14:paraId="2392CAAA">
            <w:pPr>
              <w:pStyle w:val="98"/>
              <w:autoSpaceDE w:val="0"/>
              <w:autoSpaceDN w:val="0"/>
              <w:spacing w:before="62" w:line="106" w:lineRule="exact"/>
              <w:ind w:left="1907"/>
              <w:jc w:val="center"/>
              <w:rPr>
                <w:kern w:val="0"/>
                <w:sz w:val="22"/>
                <w:szCs w:val="22"/>
              </w:rPr>
            </w:pPr>
          </w:p>
        </w:tc>
        <w:tc>
          <w:tcPr>
            <w:tcW w:w="778" w:type="pct"/>
            <w:vMerge w:val="restart"/>
            <w:noWrap w:val="0"/>
            <w:vAlign w:val="center"/>
          </w:tcPr>
          <w:p w14:paraId="083A6973">
            <w:pPr>
              <w:pStyle w:val="98"/>
              <w:autoSpaceDE w:val="0"/>
              <w:autoSpaceDN w:val="0"/>
              <w:spacing w:before="62" w:line="106" w:lineRule="exact"/>
              <w:jc w:val="center"/>
              <w:rPr>
                <w:rFonts w:hint="eastAsia"/>
                <w:kern w:val="0"/>
                <w:position w:val="-5"/>
                <w:sz w:val="22"/>
                <w:szCs w:val="22"/>
                <w:lang w:val="en-US" w:eastAsia="zh-CN"/>
              </w:rPr>
            </w:pPr>
          </w:p>
          <w:p w14:paraId="6AC1E741">
            <w:pPr>
              <w:pStyle w:val="98"/>
              <w:autoSpaceDE w:val="0"/>
              <w:autoSpaceDN w:val="0"/>
              <w:spacing w:before="62" w:line="106" w:lineRule="exact"/>
              <w:jc w:val="center"/>
              <w:rPr>
                <w:rFonts w:hint="eastAsia"/>
                <w:kern w:val="0"/>
                <w:position w:val="-5"/>
                <w:sz w:val="22"/>
                <w:szCs w:val="22"/>
                <w:lang w:val="en-US" w:eastAsia="zh-CN"/>
              </w:rPr>
            </w:pPr>
          </w:p>
          <w:p w14:paraId="4A02E497">
            <w:pPr>
              <w:pStyle w:val="98"/>
              <w:autoSpaceDE w:val="0"/>
              <w:autoSpaceDN w:val="0"/>
              <w:spacing w:before="62" w:line="106" w:lineRule="exact"/>
              <w:jc w:val="center"/>
              <w:rPr>
                <w:rFonts w:hint="eastAsia"/>
                <w:kern w:val="0"/>
                <w:position w:val="-5"/>
                <w:sz w:val="22"/>
                <w:szCs w:val="22"/>
                <w:lang w:val="en-US" w:eastAsia="zh-CN"/>
              </w:rPr>
            </w:pPr>
          </w:p>
          <w:p w14:paraId="5C823F37">
            <w:pPr>
              <w:pStyle w:val="98"/>
              <w:autoSpaceDE w:val="0"/>
              <w:autoSpaceDN w:val="0"/>
              <w:spacing w:before="62" w:line="106" w:lineRule="exact"/>
              <w:jc w:val="center"/>
              <w:rPr>
                <w:rFonts w:hint="eastAsia"/>
                <w:kern w:val="0"/>
                <w:position w:val="-5"/>
                <w:sz w:val="22"/>
                <w:szCs w:val="22"/>
                <w:lang w:val="en-US" w:eastAsia="zh-CN"/>
              </w:rPr>
            </w:pPr>
          </w:p>
          <w:p w14:paraId="2F3978AD">
            <w:pPr>
              <w:pStyle w:val="98"/>
              <w:autoSpaceDE w:val="0"/>
              <w:autoSpaceDN w:val="0"/>
              <w:spacing w:before="61" w:line="219" w:lineRule="auto"/>
              <w:ind w:left="97" w:firstLine="474" w:firstLineChars="200"/>
              <w:jc w:val="center"/>
              <w:rPr>
                <w:rFonts w:hint="default" w:eastAsia="宋体"/>
                <w:kern w:val="0"/>
                <w:position w:val="-5"/>
                <w:sz w:val="22"/>
                <w:szCs w:val="22"/>
                <w:lang w:val="en-US" w:eastAsia="zh-CN"/>
              </w:rPr>
            </w:pPr>
            <w:r>
              <w:rPr>
                <w:rFonts w:hint="eastAsia"/>
                <w:spacing w:val="7"/>
                <w:kern w:val="0"/>
                <w:sz w:val="22"/>
                <w:szCs w:val="22"/>
                <w:lang w:val="en-US" w:eastAsia="zh-CN"/>
              </w:rPr>
              <w:t>3700</w:t>
            </w:r>
          </w:p>
        </w:tc>
      </w:tr>
      <w:tr w14:paraId="14F87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continue"/>
            <w:tcBorders>
              <w:top w:val="nil"/>
              <w:bottom w:val="nil"/>
            </w:tcBorders>
            <w:noWrap w:val="0"/>
            <w:vAlign w:val="top"/>
          </w:tcPr>
          <w:p w14:paraId="4FC6F4F7">
            <w:pPr>
              <w:autoSpaceDE w:val="0"/>
              <w:autoSpaceDN w:val="0"/>
              <w:jc w:val="center"/>
              <w:rPr>
                <w:rFonts w:ascii="Arial" w:hAnsi="Times New Roman" w:eastAsia="宋体" w:cs="Times New Roman"/>
                <w:kern w:val="0"/>
                <w:sz w:val="22"/>
                <w:szCs w:val="22"/>
              </w:rPr>
            </w:pPr>
          </w:p>
        </w:tc>
        <w:tc>
          <w:tcPr>
            <w:tcW w:w="1317" w:type="pct"/>
            <w:vMerge w:val="continue"/>
            <w:tcBorders>
              <w:top w:val="nil"/>
              <w:bottom w:val="nil"/>
            </w:tcBorders>
            <w:noWrap w:val="0"/>
            <w:vAlign w:val="top"/>
          </w:tcPr>
          <w:p w14:paraId="302E65D0">
            <w:pPr>
              <w:autoSpaceDE w:val="0"/>
              <w:autoSpaceDN w:val="0"/>
              <w:jc w:val="center"/>
              <w:rPr>
                <w:rFonts w:ascii="Arial" w:hAnsi="Times New Roman" w:eastAsia="宋体" w:cs="Times New Roman"/>
                <w:kern w:val="0"/>
                <w:sz w:val="22"/>
                <w:szCs w:val="22"/>
              </w:rPr>
            </w:pPr>
          </w:p>
        </w:tc>
        <w:tc>
          <w:tcPr>
            <w:tcW w:w="838" w:type="pct"/>
            <w:noWrap w:val="0"/>
            <w:vAlign w:val="center"/>
          </w:tcPr>
          <w:p w14:paraId="589FA690">
            <w:pPr>
              <w:pStyle w:val="98"/>
              <w:autoSpaceDE w:val="0"/>
              <w:autoSpaceDN w:val="0"/>
              <w:spacing w:before="88" w:line="166" w:lineRule="auto"/>
              <w:ind w:left="73"/>
              <w:jc w:val="center"/>
              <w:rPr>
                <w:kern w:val="0"/>
                <w:sz w:val="22"/>
                <w:szCs w:val="22"/>
              </w:rPr>
            </w:pPr>
            <w:r>
              <w:rPr>
                <w:spacing w:val="-2"/>
                <w:kern w:val="0"/>
                <w:sz w:val="22"/>
                <w:szCs w:val="22"/>
              </w:rPr>
              <w:t>CD14</w:t>
            </w:r>
          </w:p>
        </w:tc>
        <w:tc>
          <w:tcPr>
            <w:tcW w:w="1028" w:type="pct"/>
            <w:vMerge w:val="continue"/>
            <w:tcBorders>
              <w:top w:val="nil"/>
              <w:bottom w:val="nil"/>
            </w:tcBorders>
            <w:noWrap w:val="0"/>
            <w:vAlign w:val="center"/>
          </w:tcPr>
          <w:p w14:paraId="65D68DD9">
            <w:pPr>
              <w:autoSpaceDE w:val="0"/>
              <w:autoSpaceDN w:val="0"/>
              <w:jc w:val="center"/>
              <w:rPr>
                <w:rFonts w:ascii="Arial" w:hAnsi="Times New Roman" w:eastAsia="宋体" w:cs="Times New Roman"/>
                <w:kern w:val="0"/>
                <w:sz w:val="22"/>
                <w:szCs w:val="22"/>
              </w:rPr>
            </w:pPr>
          </w:p>
        </w:tc>
        <w:tc>
          <w:tcPr>
            <w:tcW w:w="752" w:type="pct"/>
            <w:vMerge w:val="continue"/>
            <w:tcBorders>
              <w:top w:val="nil"/>
              <w:bottom w:val="nil"/>
            </w:tcBorders>
            <w:noWrap w:val="0"/>
            <w:vAlign w:val="top"/>
          </w:tcPr>
          <w:p w14:paraId="70C8E300">
            <w:pPr>
              <w:autoSpaceDE w:val="0"/>
              <w:autoSpaceDN w:val="0"/>
              <w:jc w:val="center"/>
              <w:rPr>
                <w:rFonts w:ascii="Arial" w:hAnsi="Times New Roman" w:eastAsia="宋体" w:cs="Times New Roman"/>
                <w:kern w:val="0"/>
                <w:sz w:val="22"/>
                <w:szCs w:val="22"/>
              </w:rPr>
            </w:pPr>
          </w:p>
        </w:tc>
        <w:tc>
          <w:tcPr>
            <w:tcW w:w="778" w:type="pct"/>
            <w:vMerge w:val="continue"/>
            <w:noWrap w:val="0"/>
            <w:vAlign w:val="center"/>
          </w:tcPr>
          <w:p w14:paraId="66EC418D">
            <w:pPr>
              <w:autoSpaceDE w:val="0"/>
              <w:autoSpaceDN w:val="0"/>
              <w:jc w:val="center"/>
              <w:rPr>
                <w:rFonts w:ascii="Arial" w:hAnsi="Times New Roman" w:eastAsia="宋体" w:cs="Times New Roman"/>
                <w:kern w:val="0"/>
                <w:sz w:val="22"/>
                <w:szCs w:val="22"/>
              </w:rPr>
            </w:pPr>
          </w:p>
        </w:tc>
      </w:tr>
      <w:tr w14:paraId="39F27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84" w:type="pct"/>
            <w:vMerge w:val="continue"/>
            <w:tcBorders>
              <w:top w:val="nil"/>
              <w:bottom w:val="nil"/>
            </w:tcBorders>
            <w:noWrap w:val="0"/>
            <w:vAlign w:val="top"/>
          </w:tcPr>
          <w:p w14:paraId="1CBA002D">
            <w:pPr>
              <w:autoSpaceDE w:val="0"/>
              <w:autoSpaceDN w:val="0"/>
              <w:jc w:val="center"/>
              <w:rPr>
                <w:rFonts w:ascii="Arial" w:hAnsi="Times New Roman" w:eastAsia="宋体" w:cs="Times New Roman"/>
                <w:kern w:val="0"/>
                <w:sz w:val="22"/>
                <w:szCs w:val="22"/>
              </w:rPr>
            </w:pPr>
          </w:p>
        </w:tc>
        <w:tc>
          <w:tcPr>
            <w:tcW w:w="1317" w:type="pct"/>
            <w:vMerge w:val="continue"/>
            <w:tcBorders>
              <w:top w:val="nil"/>
              <w:bottom w:val="nil"/>
            </w:tcBorders>
            <w:noWrap w:val="0"/>
            <w:vAlign w:val="top"/>
          </w:tcPr>
          <w:p w14:paraId="226F2239">
            <w:pPr>
              <w:autoSpaceDE w:val="0"/>
              <w:autoSpaceDN w:val="0"/>
              <w:jc w:val="center"/>
              <w:rPr>
                <w:rFonts w:ascii="Arial" w:hAnsi="Times New Roman" w:eastAsia="宋体" w:cs="Times New Roman"/>
                <w:kern w:val="0"/>
                <w:sz w:val="22"/>
                <w:szCs w:val="22"/>
              </w:rPr>
            </w:pPr>
          </w:p>
        </w:tc>
        <w:tc>
          <w:tcPr>
            <w:tcW w:w="838" w:type="pct"/>
            <w:noWrap w:val="0"/>
            <w:vAlign w:val="center"/>
          </w:tcPr>
          <w:p w14:paraId="1015D517">
            <w:pPr>
              <w:pStyle w:val="98"/>
              <w:autoSpaceDE w:val="0"/>
              <w:autoSpaceDN w:val="0"/>
              <w:spacing w:before="89" w:line="160" w:lineRule="exact"/>
              <w:ind w:left="73"/>
              <w:jc w:val="center"/>
              <w:rPr>
                <w:kern w:val="0"/>
                <w:sz w:val="22"/>
                <w:szCs w:val="22"/>
              </w:rPr>
            </w:pPr>
            <w:r>
              <w:rPr>
                <w:spacing w:val="-2"/>
                <w:kern w:val="0"/>
                <w:position w:val="-2"/>
                <w:sz w:val="22"/>
                <w:szCs w:val="22"/>
              </w:rPr>
              <w:t>CD64</w:t>
            </w:r>
          </w:p>
        </w:tc>
        <w:tc>
          <w:tcPr>
            <w:tcW w:w="1028" w:type="pct"/>
            <w:vMerge w:val="continue"/>
            <w:tcBorders>
              <w:top w:val="nil"/>
              <w:bottom w:val="nil"/>
            </w:tcBorders>
            <w:noWrap w:val="0"/>
            <w:vAlign w:val="center"/>
          </w:tcPr>
          <w:p w14:paraId="103BDA42">
            <w:pPr>
              <w:autoSpaceDE w:val="0"/>
              <w:autoSpaceDN w:val="0"/>
              <w:jc w:val="center"/>
              <w:rPr>
                <w:rFonts w:ascii="Arial" w:hAnsi="Times New Roman" w:eastAsia="宋体" w:cs="Times New Roman"/>
                <w:kern w:val="0"/>
                <w:sz w:val="22"/>
                <w:szCs w:val="22"/>
              </w:rPr>
            </w:pPr>
          </w:p>
        </w:tc>
        <w:tc>
          <w:tcPr>
            <w:tcW w:w="752" w:type="pct"/>
            <w:vMerge w:val="continue"/>
            <w:tcBorders>
              <w:top w:val="nil"/>
              <w:bottom w:val="nil"/>
            </w:tcBorders>
            <w:noWrap w:val="0"/>
            <w:vAlign w:val="top"/>
          </w:tcPr>
          <w:p w14:paraId="131CEBA4">
            <w:pPr>
              <w:autoSpaceDE w:val="0"/>
              <w:autoSpaceDN w:val="0"/>
              <w:jc w:val="center"/>
              <w:rPr>
                <w:rFonts w:ascii="Arial" w:hAnsi="Times New Roman" w:eastAsia="宋体" w:cs="Times New Roman"/>
                <w:kern w:val="0"/>
                <w:sz w:val="22"/>
                <w:szCs w:val="22"/>
              </w:rPr>
            </w:pPr>
          </w:p>
        </w:tc>
        <w:tc>
          <w:tcPr>
            <w:tcW w:w="778" w:type="pct"/>
            <w:vMerge w:val="continue"/>
            <w:noWrap w:val="0"/>
            <w:vAlign w:val="center"/>
          </w:tcPr>
          <w:p w14:paraId="6AB4D6BE">
            <w:pPr>
              <w:autoSpaceDE w:val="0"/>
              <w:autoSpaceDN w:val="0"/>
              <w:jc w:val="center"/>
              <w:rPr>
                <w:rFonts w:ascii="Arial" w:hAnsi="Times New Roman" w:eastAsia="宋体" w:cs="Times New Roman"/>
                <w:kern w:val="0"/>
                <w:sz w:val="22"/>
                <w:szCs w:val="22"/>
              </w:rPr>
            </w:pPr>
          </w:p>
        </w:tc>
      </w:tr>
      <w:tr w14:paraId="7AE73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84" w:type="pct"/>
            <w:vMerge w:val="continue"/>
            <w:tcBorders>
              <w:top w:val="nil"/>
              <w:bottom w:val="nil"/>
            </w:tcBorders>
            <w:noWrap w:val="0"/>
            <w:vAlign w:val="top"/>
          </w:tcPr>
          <w:p w14:paraId="28AFA30F">
            <w:pPr>
              <w:autoSpaceDE w:val="0"/>
              <w:autoSpaceDN w:val="0"/>
              <w:jc w:val="center"/>
              <w:rPr>
                <w:rFonts w:ascii="Arial" w:hAnsi="Times New Roman" w:eastAsia="宋体" w:cs="Times New Roman"/>
                <w:kern w:val="0"/>
                <w:sz w:val="22"/>
                <w:szCs w:val="22"/>
              </w:rPr>
            </w:pPr>
          </w:p>
        </w:tc>
        <w:tc>
          <w:tcPr>
            <w:tcW w:w="1317" w:type="pct"/>
            <w:vMerge w:val="continue"/>
            <w:tcBorders>
              <w:top w:val="nil"/>
              <w:bottom w:val="nil"/>
            </w:tcBorders>
            <w:noWrap w:val="0"/>
            <w:vAlign w:val="top"/>
          </w:tcPr>
          <w:p w14:paraId="7260BEDF">
            <w:pPr>
              <w:autoSpaceDE w:val="0"/>
              <w:autoSpaceDN w:val="0"/>
              <w:jc w:val="center"/>
              <w:rPr>
                <w:rFonts w:ascii="Arial" w:hAnsi="Times New Roman" w:eastAsia="宋体" w:cs="Times New Roman"/>
                <w:kern w:val="0"/>
                <w:sz w:val="22"/>
                <w:szCs w:val="22"/>
              </w:rPr>
            </w:pPr>
          </w:p>
        </w:tc>
        <w:tc>
          <w:tcPr>
            <w:tcW w:w="838" w:type="pct"/>
            <w:noWrap w:val="0"/>
            <w:vAlign w:val="center"/>
          </w:tcPr>
          <w:p w14:paraId="5A4C52A6">
            <w:pPr>
              <w:pStyle w:val="98"/>
              <w:autoSpaceDE w:val="0"/>
              <w:autoSpaceDN w:val="0"/>
              <w:spacing w:before="70" w:line="193" w:lineRule="auto"/>
              <w:ind w:left="73"/>
              <w:jc w:val="center"/>
              <w:rPr>
                <w:kern w:val="0"/>
                <w:sz w:val="22"/>
                <w:szCs w:val="22"/>
              </w:rPr>
            </w:pPr>
            <w:r>
              <w:rPr>
                <w:spacing w:val="-1"/>
                <w:kern w:val="0"/>
                <w:sz w:val="22"/>
                <w:szCs w:val="22"/>
              </w:rPr>
              <w:t>CD11b</w:t>
            </w:r>
          </w:p>
        </w:tc>
        <w:tc>
          <w:tcPr>
            <w:tcW w:w="1028" w:type="pct"/>
            <w:vMerge w:val="continue"/>
            <w:tcBorders>
              <w:top w:val="nil"/>
              <w:bottom w:val="nil"/>
            </w:tcBorders>
            <w:noWrap w:val="0"/>
            <w:vAlign w:val="center"/>
          </w:tcPr>
          <w:p w14:paraId="63C58036">
            <w:pPr>
              <w:autoSpaceDE w:val="0"/>
              <w:autoSpaceDN w:val="0"/>
              <w:jc w:val="center"/>
              <w:rPr>
                <w:rFonts w:ascii="Arial" w:hAnsi="Times New Roman" w:eastAsia="宋体" w:cs="Times New Roman"/>
                <w:kern w:val="0"/>
                <w:sz w:val="22"/>
                <w:szCs w:val="22"/>
              </w:rPr>
            </w:pPr>
          </w:p>
        </w:tc>
        <w:tc>
          <w:tcPr>
            <w:tcW w:w="752" w:type="pct"/>
            <w:vMerge w:val="continue"/>
            <w:tcBorders>
              <w:top w:val="nil"/>
              <w:bottom w:val="nil"/>
            </w:tcBorders>
            <w:noWrap w:val="0"/>
            <w:vAlign w:val="top"/>
          </w:tcPr>
          <w:p w14:paraId="4881F700">
            <w:pPr>
              <w:autoSpaceDE w:val="0"/>
              <w:autoSpaceDN w:val="0"/>
              <w:jc w:val="center"/>
              <w:rPr>
                <w:rFonts w:ascii="Arial" w:hAnsi="Times New Roman" w:eastAsia="宋体" w:cs="Times New Roman"/>
                <w:kern w:val="0"/>
                <w:sz w:val="22"/>
                <w:szCs w:val="22"/>
              </w:rPr>
            </w:pPr>
          </w:p>
        </w:tc>
        <w:tc>
          <w:tcPr>
            <w:tcW w:w="778" w:type="pct"/>
            <w:vMerge w:val="continue"/>
            <w:noWrap w:val="0"/>
            <w:vAlign w:val="center"/>
          </w:tcPr>
          <w:p w14:paraId="6798E83E">
            <w:pPr>
              <w:autoSpaceDE w:val="0"/>
              <w:autoSpaceDN w:val="0"/>
              <w:jc w:val="center"/>
              <w:rPr>
                <w:rFonts w:ascii="Arial" w:hAnsi="Times New Roman" w:eastAsia="宋体" w:cs="Times New Roman"/>
                <w:kern w:val="0"/>
                <w:sz w:val="22"/>
                <w:szCs w:val="22"/>
              </w:rPr>
            </w:pPr>
          </w:p>
        </w:tc>
      </w:tr>
      <w:tr w14:paraId="2E5A7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continue"/>
            <w:tcBorders>
              <w:top w:val="nil"/>
            </w:tcBorders>
            <w:noWrap w:val="0"/>
            <w:vAlign w:val="top"/>
          </w:tcPr>
          <w:p w14:paraId="703DA2E4">
            <w:pPr>
              <w:autoSpaceDE w:val="0"/>
              <w:autoSpaceDN w:val="0"/>
              <w:jc w:val="center"/>
              <w:rPr>
                <w:rFonts w:ascii="Arial" w:hAnsi="Times New Roman" w:eastAsia="宋体" w:cs="Times New Roman"/>
                <w:kern w:val="0"/>
                <w:sz w:val="22"/>
                <w:szCs w:val="22"/>
              </w:rPr>
            </w:pPr>
          </w:p>
        </w:tc>
        <w:tc>
          <w:tcPr>
            <w:tcW w:w="1317" w:type="pct"/>
            <w:vMerge w:val="continue"/>
            <w:tcBorders>
              <w:top w:val="nil"/>
            </w:tcBorders>
            <w:noWrap w:val="0"/>
            <w:vAlign w:val="top"/>
          </w:tcPr>
          <w:p w14:paraId="2C056F08">
            <w:pPr>
              <w:autoSpaceDE w:val="0"/>
              <w:autoSpaceDN w:val="0"/>
              <w:jc w:val="center"/>
              <w:rPr>
                <w:rFonts w:ascii="Arial" w:hAnsi="Times New Roman" w:eastAsia="宋体" w:cs="Times New Roman"/>
                <w:kern w:val="0"/>
                <w:sz w:val="22"/>
                <w:szCs w:val="22"/>
              </w:rPr>
            </w:pPr>
          </w:p>
        </w:tc>
        <w:tc>
          <w:tcPr>
            <w:tcW w:w="838" w:type="pct"/>
            <w:noWrap w:val="0"/>
            <w:vAlign w:val="center"/>
          </w:tcPr>
          <w:p w14:paraId="49719691">
            <w:pPr>
              <w:pStyle w:val="98"/>
              <w:autoSpaceDE w:val="0"/>
              <w:autoSpaceDN w:val="0"/>
              <w:spacing w:before="91" w:line="163" w:lineRule="auto"/>
              <w:ind w:left="73"/>
              <w:jc w:val="center"/>
              <w:rPr>
                <w:kern w:val="0"/>
                <w:sz w:val="22"/>
                <w:szCs w:val="22"/>
              </w:rPr>
            </w:pPr>
            <w:r>
              <w:rPr>
                <w:spacing w:val="-2"/>
                <w:kern w:val="0"/>
                <w:sz w:val="22"/>
                <w:szCs w:val="22"/>
              </w:rPr>
              <w:t>CD18</w:t>
            </w:r>
          </w:p>
        </w:tc>
        <w:tc>
          <w:tcPr>
            <w:tcW w:w="1028" w:type="pct"/>
            <w:vMerge w:val="continue"/>
            <w:tcBorders>
              <w:top w:val="nil"/>
            </w:tcBorders>
            <w:noWrap w:val="0"/>
            <w:vAlign w:val="center"/>
          </w:tcPr>
          <w:p w14:paraId="30C4BD2C">
            <w:pPr>
              <w:autoSpaceDE w:val="0"/>
              <w:autoSpaceDN w:val="0"/>
              <w:jc w:val="center"/>
              <w:rPr>
                <w:rFonts w:ascii="Arial" w:hAnsi="Times New Roman" w:eastAsia="宋体" w:cs="Times New Roman"/>
                <w:kern w:val="0"/>
                <w:sz w:val="22"/>
                <w:szCs w:val="22"/>
              </w:rPr>
            </w:pPr>
          </w:p>
        </w:tc>
        <w:tc>
          <w:tcPr>
            <w:tcW w:w="752" w:type="pct"/>
            <w:vMerge w:val="continue"/>
            <w:tcBorders>
              <w:top w:val="nil"/>
            </w:tcBorders>
            <w:noWrap w:val="0"/>
            <w:vAlign w:val="top"/>
          </w:tcPr>
          <w:p w14:paraId="5DF84334">
            <w:pPr>
              <w:autoSpaceDE w:val="0"/>
              <w:autoSpaceDN w:val="0"/>
              <w:jc w:val="center"/>
              <w:rPr>
                <w:rFonts w:ascii="Arial" w:hAnsi="Times New Roman" w:eastAsia="宋体" w:cs="Times New Roman"/>
                <w:kern w:val="0"/>
                <w:sz w:val="22"/>
                <w:szCs w:val="22"/>
              </w:rPr>
            </w:pPr>
          </w:p>
        </w:tc>
        <w:tc>
          <w:tcPr>
            <w:tcW w:w="778" w:type="pct"/>
            <w:vMerge w:val="continue"/>
            <w:noWrap w:val="0"/>
            <w:vAlign w:val="center"/>
          </w:tcPr>
          <w:p w14:paraId="629367F2">
            <w:pPr>
              <w:autoSpaceDE w:val="0"/>
              <w:autoSpaceDN w:val="0"/>
              <w:jc w:val="center"/>
              <w:rPr>
                <w:rFonts w:ascii="Arial" w:hAnsi="Times New Roman" w:eastAsia="宋体" w:cs="Times New Roman"/>
                <w:kern w:val="0"/>
                <w:sz w:val="22"/>
                <w:szCs w:val="22"/>
              </w:rPr>
            </w:pPr>
          </w:p>
        </w:tc>
      </w:tr>
      <w:tr w14:paraId="5CBC1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restart"/>
            <w:tcBorders>
              <w:bottom w:val="single" w:color="000000" w:sz="4" w:space="0"/>
            </w:tcBorders>
            <w:noWrap w:val="0"/>
            <w:vAlign w:val="top"/>
          </w:tcPr>
          <w:p w14:paraId="52D800E8">
            <w:pPr>
              <w:autoSpaceDE w:val="0"/>
              <w:autoSpaceDN w:val="0"/>
              <w:spacing w:line="343" w:lineRule="auto"/>
              <w:jc w:val="center"/>
              <w:rPr>
                <w:rFonts w:ascii="Arial" w:hAnsi="Times New Roman" w:eastAsia="宋体" w:cs="Times New Roman"/>
                <w:kern w:val="0"/>
                <w:sz w:val="22"/>
                <w:szCs w:val="22"/>
              </w:rPr>
            </w:pPr>
          </w:p>
          <w:p w14:paraId="3757CD82">
            <w:pPr>
              <w:autoSpaceDE w:val="0"/>
              <w:autoSpaceDN w:val="0"/>
              <w:spacing w:line="343" w:lineRule="auto"/>
              <w:jc w:val="center"/>
              <w:rPr>
                <w:rFonts w:ascii="Arial" w:hAnsi="Times New Roman" w:eastAsia="宋体" w:cs="Times New Roman"/>
                <w:kern w:val="0"/>
                <w:sz w:val="22"/>
                <w:szCs w:val="22"/>
              </w:rPr>
            </w:pPr>
          </w:p>
          <w:p w14:paraId="3BA2B78F">
            <w:pPr>
              <w:pStyle w:val="98"/>
              <w:autoSpaceDE w:val="0"/>
              <w:autoSpaceDN w:val="0"/>
              <w:spacing w:before="62" w:line="241" w:lineRule="auto"/>
              <w:ind w:left="65"/>
              <w:jc w:val="center"/>
              <w:rPr>
                <w:kern w:val="0"/>
                <w:sz w:val="22"/>
                <w:szCs w:val="22"/>
              </w:rPr>
            </w:pPr>
            <w:r>
              <w:rPr>
                <w:kern w:val="0"/>
                <w:sz w:val="22"/>
                <w:szCs w:val="22"/>
              </w:rPr>
              <w:t>2</w:t>
            </w:r>
          </w:p>
        </w:tc>
        <w:tc>
          <w:tcPr>
            <w:tcW w:w="1317" w:type="pct"/>
            <w:vMerge w:val="restart"/>
            <w:tcBorders>
              <w:bottom w:val="single" w:color="000000" w:sz="4" w:space="0"/>
            </w:tcBorders>
            <w:noWrap w:val="0"/>
            <w:vAlign w:val="top"/>
          </w:tcPr>
          <w:p w14:paraId="1B0328C3">
            <w:pPr>
              <w:autoSpaceDE w:val="0"/>
              <w:autoSpaceDN w:val="0"/>
              <w:spacing w:line="334" w:lineRule="auto"/>
              <w:jc w:val="center"/>
              <w:rPr>
                <w:rFonts w:ascii="Arial" w:hAnsi="Times New Roman" w:eastAsia="宋体" w:cs="Times New Roman"/>
                <w:kern w:val="0"/>
                <w:sz w:val="22"/>
                <w:szCs w:val="22"/>
              </w:rPr>
            </w:pPr>
          </w:p>
          <w:p w14:paraId="6E5E51D0">
            <w:pPr>
              <w:autoSpaceDE w:val="0"/>
              <w:autoSpaceDN w:val="0"/>
              <w:spacing w:line="334" w:lineRule="auto"/>
              <w:jc w:val="center"/>
              <w:rPr>
                <w:rFonts w:ascii="Arial" w:hAnsi="Times New Roman" w:eastAsia="宋体" w:cs="Times New Roman"/>
                <w:kern w:val="0"/>
                <w:sz w:val="22"/>
                <w:szCs w:val="22"/>
              </w:rPr>
            </w:pPr>
          </w:p>
          <w:p w14:paraId="350D992C">
            <w:pPr>
              <w:pStyle w:val="98"/>
              <w:autoSpaceDE w:val="0"/>
              <w:autoSpaceDN w:val="0"/>
              <w:spacing w:before="61" w:line="219" w:lineRule="auto"/>
              <w:ind w:left="71"/>
              <w:jc w:val="center"/>
              <w:rPr>
                <w:rFonts w:hint="default" w:eastAsia="宋体"/>
                <w:kern w:val="0"/>
                <w:sz w:val="22"/>
                <w:szCs w:val="22"/>
                <w:lang w:val="en-US" w:eastAsia="zh-CN"/>
              </w:rPr>
            </w:pPr>
            <w:r>
              <w:rPr>
                <w:rFonts w:hint="eastAsia"/>
                <w:kern w:val="0"/>
                <w:sz w:val="22"/>
                <w:szCs w:val="22"/>
                <w:lang w:val="en-US" w:eastAsia="zh-CN"/>
              </w:rPr>
              <w:t>免疫细胞线粒体功能检测</w:t>
            </w:r>
          </w:p>
        </w:tc>
        <w:tc>
          <w:tcPr>
            <w:tcW w:w="838" w:type="pct"/>
            <w:tcBorders>
              <w:bottom w:val="single" w:color="000000" w:sz="4" w:space="0"/>
            </w:tcBorders>
            <w:noWrap w:val="0"/>
            <w:vAlign w:val="center"/>
          </w:tcPr>
          <w:p w14:paraId="4E52A631">
            <w:pPr>
              <w:pStyle w:val="98"/>
              <w:autoSpaceDE w:val="0"/>
              <w:autoSpaceDN w:val="0"/>
              <w:spacing w:before="92" w:line="162" w:lineRule="auto"/>
              <w:ind w:left="73"/>
              <w:jc w:val="center"/>
              <w:rPr>
                <w:rFonts w:hint="eastAsia" w:eastAsia="宋体"/>
                <w:kern w:val="0"/>
                <w:sz w:val="22"/>
                <w:szCs w:val="22"/>
                <w:lang w:eastAsia="zh-CN"/>
              </w:rPr>
            </w:pPr>
            <w:r>
              <w:rPr>
                <w:spacing w:val="-2"/>
                <w:kern w:val="0"/>
                <w:sz w:val="22"/>
                <w:szCs w:val="22"/>
              </w:rPr>
              <w:t>CD</w:t>
            </w:r>
            <w:r>
              <w:rPr>
                <w:rFonts w:hint="eastAsia"/>
                <w:spacing w:val="-2"/>
                <w:kern w:val="0"/>
                <w:sz w:val="22"/>
                <w:szCs w:val="22"/>
                <w:lang w:val="en-US" w:eastAsia="zh-CN"/>
              </w:rPr>
              <w:t>3</w:t>
            </w:r>
          </w:p>
        </w:tc>
        <w:tc>
          <w:tcPr>
            <w:tcW w:w="1028" w:type="pct"/>
            <w:vMerge w:val="restart"/>
            <w:tcBorders>
              <w:bottom w:val="single" w:color="000000" w:sz="4" w:space="0"/>
            </w:tcBorders>
            <w:noWrap w:val="0"/>
            <w:vAlign w:val="center"/>
          </w:tcPr>
          <w:p w14:paraId="4827CCCE">
            <w:pPr>
              <w:autoSpaceDE w:val="0"/>
              <w:autoSpaceDN w:val="0"/>
              <w:spacing w:line="343" w:lineRule="auto"/>
              <w:jc w:val="center"/>
              <w:rPr>
                <w:rFonts w:ascii="Arial" w:hAnsi="Times New Roman" w:eastAsia="宋体" w:cs="Times New Roman"/>
                <w:kern w:val="0"/>
                <w:sz w:val="22"/>
                <w:szCs w:val="22"/>
              </w:rPr>
            </w:pPr>
          </w:p>
          <w:p w14:paraId="730449DF">
            <w:pPr>
              <w:autoSpaceDE w:val="0"/>
              <w:autoSpaceDN w:val="0"/>
              <w:spacing w:line="343" w:lineRule="auto"/>
              <w:jc w:val="center"/>
              <w:rPr>
                <w:rFonts w:ascii="Arial" w:hAnsi="Times New Roman" w:eastAsia="宋体" w:cs="Times New Roman"/>
                <w:kern w:val="0"/>
                <w:sz w:val="22"/>
                <w:szCs w:val="22"/>
              </w:rPr>
            </w:pPr>
          </w:p>
          <w:p w14:paraId="4B85DE8F">
            <w:pPr>
              <w:pStyle w:val="98"/>
              <w:autoSpaceDE w:val="0"/>
              <w:autoSpaceDN w:val="0"/>
              <w:spacing w:before="62"/>
              <w:ind w:left="85"/>
              <w:jc w:val="center"/>
              <w:rPr>
                <w:rFonts w:hint="default" w:eastAsia="宋体"/>
                <w:kern w:val="0"/>
                <w:sz w:val="22"/>
                <w:szCs w:val="22"/>
                <w:lang w:val="en-US" w:eastAsia="zh-CN"/>
              </w:rPr>
            </w:pPr>
            <w:r>
              <w:rPr>
                <w:rFonts w:hint="eastAsia"/>
                <w:spacing w:val="-3"/>
                <w:kern w:val="0"/>
                <w:sz w:val="22"/>
                <w:szCs w:val="22"/>
                <w:lang w:val="en-US" w:eastAsia="zh-CN"/>
              </w:rPr>
              <w:t>250</w:t>
            </w:r>
          </w:p>
        </w:tc>
        <w:tc>
          <w:tcPr>
            <w:tcW w:w="752" w:type="pct"/>
            <w:vMerge w:val="restart"/>
            <w:tcBorders>
              <w:bottom w:val="single" w:color="000000" w:sz="4" w:space="0"/>
            </w:tcBorders>
            <w:noWrap w:val="0"/>
            <w:vAlign w:val="top"/>
          </w:tcPr>
          <w:p w14:paraId="63EFCBED">
            <w:pPr>
              <w:autoSpaceDE w:val="0"/>
              <w:autoSpaceDN w:val="0"/>
              <w:spacing w:line="334" w:lineRule="auto"/>
              <w:jc w:val="center"/>
              <w:rPr>
                <w:rFonts w:ascii="Arial" w:hAnsi="Times New Roman" w:eastAsia="宋体" w:cs="Times New Roman"/>
                <w:kern w:val="0"/>
                <w:sz w:val="22"/>
                <w:szCs w:val="22"/>
              </w:rPr>
            </w:pPr>
          </w:p>
          <w:p w14:paraId="4DC20BE3">
            <w:pPr>
              <w:autoSpaceDE w:val="0"/>
              <w:autoSpaceDN w:val="0"/>
              <w:spacing w:line="334" w:lineRule="auto"/>
              <w:jc w:val="center"/>
              <w:rPr>
                <w:rFonts w:ascii="Arial" w:hAnsi="Times New Roman" w:eastAsia="宋体" w:cs="Times New Roman"/>
                <w:kern w:val="0"/>
                <w:sz w:val="22"/>
                <w:szCs w:val="22"/>
              </w:rPr>
            </w:pPr>
          </w:p>
          <w:p w14:paraId="1CB1BB4F">
            <w:pPr>
              <w:pStyle w:val="98"/>
              <w:autoSpaceDE w:val="0"/>
              <w:autoSpaceDN w:val="0"/>
              <w:spacing w:before="61" w:line="219" w:lineRule="auto"/>
              <w:ind w:left="97"/>
              <w:jc w:val="center"/>
              <w:rPr>
                <w:kern w:val="0"/>
                <w:sz w:val="22"/>
                <w:szCs w:val="22"/>
              </w:rPr>
            </w:pPr>
            <w:r>
              <w:rPr>
                <w:spacing w:val="7"/>
                <w:kern w:val="0"/>
                <w:sz w:val="22"/>
                <w:szCs w:val="22"/>
              </w:rPr>
              <w:t>3个工作日</w:t>
            </w:r>
          </w:p>
        </w:tc>
        <w:tc>
          <w:tcPr>
            <w:tcW w:w="778" w:type="pct"/>
            <w:vMerge w:val="restart"/>
            <w:noWrap w:val="0"/>
            <w:vAlign w:val="center"/>
          </w:tcPr>
          <w:p w14:paraId="4A5089CC">
            <w:pPr>
              <w:pStyle w:val="98"/>
              <w:autoSpaceDE w:val="0"/>
              <w:autoSpaceDN w:val="0"/>
              <w:spacing w:before="61" w:line="219" w:lineRule="auto"/>
              <w:ind w:left="97"/>
              <w:jc w:val="center"/>
              <w:rPr>
                <w:rFonts w:hint="eastAsia"/>
                <w:spacing w:val="7"/>
                <w:kern w:val="0"/>
                <w:sz w:val="22"/>
                <w:szCs w:val="22"/>
                <w:lang w:val="en-US" w:eastAsia="zh-CN"/>
              </w:rPr>
            </w:pPr>
          </w:p>
          <w:p w14:paraId="0CC7459C">
            <w:pPr>
              <w:pStyle w:val="98"/>
              <w:autoSpaceDE w:val="0"/>
              <w:autoSpaceDN w:val="0"/>
              <w:spacing w:before="61" w:line="219" w:lineRule="auto"/>
              <w:ind w:left="97"/>
              <w:jc w:val="center"/>
              <w:rPr>
                <w:rFonts w:hint="eastAsia"/>
                <w:spacing w:val="7"/>
                <w:kern w:val="0"/>
                <w:sz w:val="22"/>
                <w:szCs w:val="22"/>
                <w:lang w:val="en-US" w:eastAsia="zh-CN"/>
              </w:rPr>
            </w:pPr>
          </w:p>
          <w:p w14:paraId="16CCFE9B">
            <w:pPr>
              <w:pStyle w:val="98"/>
              <w:autoSpaceDE w:val="0"/>
              <w:autoSpaceDN w:val="0"/>
              <w:spacing w:before="61" w:line="219" w:lineRule="auto"/>
              <w:ind w:left="97" w:firstLine="474" w:firstLineChars="200"/>
              <w:jc w:val="center"/>
              <w:rPr>
                <w:rFonts w:hint="default" w:eastAsia="宋体"/>
                <w:spacing w:val="7"/>
                <w:kern w:val="0"/>
                <w:sz w:val="22"/>
                <w:szCs w:val="22"/>
                <w:lang w:val="en-US" w:eastAsia="zh-CN"/>
              </w:rPr>
            </w:pPr>
            <w:r>
              <w:rPr>
                <w:rFonts w:hint="eastAsia"/>
                <w:spacing w:val="7"/>
                <w:kern w:val="0"/>
                <w:sz w:val="22"/>
                <w:szCs w:val="22"/>
                <w:lang w:val="en-US" w:eastAsia="zh-CN"/>
              </w:rPr>
              <w:t>900</w:t>
            </w:r>
          </w:p>
        </w:tc>
      </w:tr>
      <w:tr w14:paraId="18C5A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continue"/>
            <w:tcBorders>
              <w:top w:val="single" w:color="000000" w:sz="4" w:space="0"/>
              <w:bottom w:val="single" w:color="000000" w:sz="4" w:space="0"/>
            </w:tcBorders>
            <w:noWrap w:val="0"/>
            <w:vAlign w:val="top"/>
          </w:tcPr>
          <w:p w14:paraId="4CBDE682">
            <w:pPr>
              <w:autoSpaceDE w:val="0"/>
              <w:autoSpaceDN w:val="0"/>
              <w:jc w:val="center"/>
              <w:rPr>
                <w:rFonts w:ascii="Arial" w:hAnsi="Times New Roman" w:eastAsia="宋体" w:cs="Times New Roman"/>
                <w:kern w:val="0"/>
                <w:sz w:val="22"/>
                <w:szCs w:val="22"/>
              </w:rPr>
            </w:pPr>
          </w:p>
        </w:tc>
        <w:tc>
          <w:tcPr>
            <w:tcW w:w="1317" w:type="pct"/>
            <w:vMerge w:val="continue"/>
            <w:tcBorders>
              <w:top w:val="single" w:color="000000" w:sz="4" w:space="0"/>
              <w:bottom w:val="single" w:color="000000" w:sz="4" w:space="0"/>
            </w:tcBorders>
            <w:noWrap w:val="0"/>
            <w:vAlign w:val="top"/>
          </w:tcPr>
          <w:p w14:paraId="6ECD5777">
            <w:pPr>
              <w:autoSpaceDE w:val="0"/>
              <w:autoSpaceDN w:val="0"/>
              <w:jc w:val="center"/>
              <w:rPr>
                <w:rFonts w:ascii="Arial" w:hAnsi="Times New Roman" w:eastAsia="宋体" w:cs="Times New Roman"/>
                <w:kern w:val="0"/>
                <w:sz w:val="22"/>
                <w:szCs w:val="22"/>
              </w:rPr>
            </w:pPr>
          </w:p>
        </w:tc>
        <w:tc>
          <w:tcPr>
            <w:tcW w:w="838" w:type="pct"/>
            <w:tcBorders>
              <w:top w:val="single" w:color="000000" w:sz="4" w:space="0"/>
              <w:bottom w:val="single" w:color="000000" w:sz="4" w:space="0"/>
            </w:tcBorders>
            <w:noWrap w:val="0"/>
            <w:vAlign w:val="center"/>
          </w:tcPr>
          <w:p w14:paraId="7ADEF0E0">
            <w:pPr>
              <w:pStyle w:val="98"/>
              <w:autoSpaceDE w:val="0"/>
              <w:autoSpaceDN w:val="0"/>
              <w:spacing w:before="94" w:line="160" w:lineRule="auto"/>
              <w:ind w:left="73"/>
              <w:jc w:val="center"/>
              <w:rPr>
                <w:kern w:val="0"/>
                <w:sz w:val="22"/>
                <w:szCs w:val="22"/>
              </w:rPr>
            </w:pPr>
            <w:r>
              <w:rPr>
                <w:spacing w:val="-2"/>
                <w:kern w:val="0"/>
                <w:sz w:val="22"/>
                <w:szCs w:val="22"/>
              </w:rPr>
              <w:t>CD4</w:t>
            </w:r>
          </w:p>
        </w:tc>
        <w:tc>
          <w:tcPr>
            <w:tcW w:w="1028" w:type="pct"/>
            <w:vMerge w:val="continue"/>
            <w:tcBorders>
              <w:top w:val="single" w:color="000000" w:sz="4" w:space="0"/>
              <w:bottom w:val="single" w:color="000000" w:sz="4" w:space="0"/>
            </w:tcBorders>
            <w:noWrap w:val="0"/>
            <w:vAlign w:val="center"/>
          </w:tcPr>
          <w:p w14:paraId="3AAFCABF">
            <w:pPr>
              <w:autoSpaceDE w:val="0"/>
              <w:autoSpaceDN w:val="0"/>
              <w:jc w:val="center"/>
              <w:rPr>
                <w:rFonts w:ascii="Arial" w:hAnsi="Times New Roman" w:eastAsia="宋体" w:cs="Times New Roman"/>
                <w:kern w:val="0"/>
                <w:sz w:val="22"/>
                <w:szCs w:val="22"/>
              </w:rPr>
            </w:pPr>
          </w:p>
        </w:tc>
        <w:tc>
          <w:tcPr>
            <w:tcW w:w="752" w:type="pct"/>
            <w:vMerge w:val="continue"/>
            <w:tcBorders>
              <w:top w:val="single" w:color="000000" w:sz="4" w:space="0"/>
              <w:bottom w:val="single" w:color="000000" w:sz="4" w:space="0"/>
            </w:tcBorders>
            <w:noWrap w:val="0"/>
            <w:vAlign w:val="top"/>
          </w:tcPr>
          <w:p w14:paraId="29EC6076">
            <w:pPr>
              <w:autoSpaceDE w:val="0"/>
              <w:autoSpaceDN w:val="0"/>
              <w:jc w:val="center"/>
              <w:rPr>
                <w:rFonts w:ascii="Arial" w:hAnsi="Times New Roman" w:eastAsia="宋体" w:cs="Times New Roman"/>
                <w:kern w:val="0"/>
                <w:sz w:val="22"/>
                <w:szCs w:val="22"/>
              </w:rPr>
            </w:pPr>
          </w:p>
        </w:tc>
        <w:tc>
          <w:tcPr>
            <w:tcW w:w="778" w:type="pct"/>
            <w:vMerge w:val="continue"/>
            <w:noWrap w:val="0"/>
            <w:vAlign w:val="center"/>
          </w:tcPr>
          <w:p w14:paraId="10F139D2">
            <w:pPr>
              <w:autoSpaceDE w:val="0"/>
              <w:autoSpaceDN w:val="0"/>
              <w:jc w:val="center"/>
              <w:rPr>
                <w:rFonts w:ascii="Arial" w:hAnsi="Times New Roman" w:eastAsia="宋体" w:cs="Times New Roman"/>
                <w:kern w:val="0"/>
                <w:sz w:val="22"/>
                <w:szCs w:val="22"/>
              </w:rPr>
            </w:pPr>
          </w:p>
        </w:tc>
      </w:tr>
      <w:tr w14:paraId="110F8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284" w:type="pct"/>
            <w:vMerge w:val="continue"/>
            <w:tcBorders>
              <w:top w:val="single" w:color="000000" w:sz="4" w:space="0"/>
              <w:bottom w:val="single" w:color="000000" w:sz="4" w:space="0"/>
            </w:tcBorders>
            <w:noWrap w:val="0"/>
            <w:vAlign w:val="top"/>
          </w:tcPr>
          <w:p w14:paraId="67219F65">
            <w:pPr>
              <w:autoSpaceDE w:val="0"/>
              <w:autoSpaceDN w:val="0"/>
              <w:jc w:val="center"/>
              <w:rPr>
                <w:rFonts w:ascii="Arial" w:hAnsi="Times New Roman" w:eastAsia="宋体" w:cs="Times New Roman"/>
                <w:kern w:val="0"/>
                <w:sz w:val="22"/>
                <w:szCs w:val="22"/>
              </w:rPr>
            </w:pPr>
          </w:p>
        </w:tc>
        <w:tc>
          <w:tcPr>
            <w:tcW w:w="1317" w:type="pct"/>
            <w:vMerge w:val="continue"/>
            <w:tcBorders>
              <w:top w:val="single" w:color="000000" w:sz="4" w:space="0"/>
              <w:bottom w:val="single" w:color="000000" w:sz="4" w:space="0"/>
            </w:tcBorders>
            <w:noWrap w:val="0"/>
            <w:vAlign w:val="top"/>
          </w:tcPr>
          <w:p w14:paraId="7AEBA653">
            <w:pPr>
              <w:autoSpaceDE w:val="0"/>
              <w:autoSpaceDN w:val="0"/>
              <w:jc w:val="center"/>
              <w:rPr>
                <w:rFonts w:ascii="Arial" w:hAnsi="Times New Roman" w:eastAsia="宋体" w:cs="Times New Roman"/>
                <w:kern w:val="0"/>
                <w:sz w:val="22"/>
                <w:szCs w:val="22"/>
              </w:rPr>
            </w:pPr>
          </w:p>
        </w:tc>
        <w:tc>
          <w:tcPr>
            <w:tcW w:w="838" w:type="pct"/>
            <w:tcBorders>
              <w:top w:val="single" w:color="000000" w:sz="4" w:space="0"/>
              <w:bottom w:val="single" w:color="000000" w:sz="4" w:space="0"/>
            </w:tcBorders>
            <w:noWrap w:val="0"/>
            <w:vAlign w:val="center"/>
          </w:tcPr>
          <w:p w14:paraId="6ACE8726">
            <w:pPr>
              <w:pStyle w:val="98"/>
              <w:autoSpaceDE w:val="0"/>
              <w:autoSpaceDN w:val="0"/>
              <w:spacing w:before="45" w:line="199" w:lineRule="auto"/>
              <w:ind w:left="73"/>
              <w:jc w:val="center"/>
              <w:rPr>
                <w:rFonts w:hint="eastAsia" w:eastAsia="宋体"/>
                <w:kern w:val="0"/>
                <w:sz w:val="22"/>
                <w:szCs w:val="22"/>
                <w:lang w:eastAsia="zh-CN"/>
              </w:rPr>
            </w:pPr>
            <w:r>
              <w:rPr>
                <w:kern w:val="0"/>
                <w:sz w:val="22"/>
                <w:szCs w:val="22"/>
              </w:rPr>
              <w:t>CD</w:t>
            </w:r>
            <w:r>
              <w:rPr>
                <w:rFonts w:hint="eastAsia"/>
                <w:spacing w:val="5"/>
                <w:kern w:val="0"/>
                <w:sz w:val="22"/>
                <w:szCs w:val="22"/>
                <w:lang w:val="en-US" w:eastAsia="zh-CN"/>
              </w:rPr>
              <w:t>8</w:t>
            </w:r>
          </w:p>
        </w:tc>
        <w:tc>
          <w:tcPr>
            <w:tcW w:w="1028" w:type="pct"/>
            <w:vMerge w:val="continue"/>
            <w:tcBorders>
              <w:top w:val="single" w:color="000000" w:sz="4" w:space="0"/>
              <w:bottom w:val="single" w:color="000000" w:sz="4" w:space="0"/>
            </w:tcBorders>
            <w:noWrap w:val="0"/>
            <w:vAlign w:val="center"/>
          </w:tcPr>
          <w:p w14:paraId="6FC76963">
            <w:pPr>
              <w:autoSpaceDE w:val="0"/>
              <w:autoSpaceDN w:val="0"/>
              <w:jc w:val="center"/>
              <w:rPr>
                <w:rFonts w:ascii="Arial" w:hAnsi="Times New Roman" w:eastAsia="宋体" w:cs="Times New Roman"/>
                <w:kern w:val="0"/>
                <w:sz w:val="22"/>
                <w:szCs w:val="22"/>
              </w:rPr>
            </w:pPr>
          </w:p>
        </w:tc>
        <w:tc>
          <w:tcPr>
            <w:tcW w:w="752" w:type="pct"/>
            <w:vMerge w:val="continue"/>
            <w:tcBorders>
              <w:top w:val="single" w:color="000000" w:sz="4" w:space="0"/>
              <w:bottom w:val="single" w:color="000000" w:sz="4" w:space="0"/>
            </w:tcBorders>
            <w:noWrap w:val="0"/>
            <w:vAlign w:val="top"/>
          </w:tcPr>
          <w:p w14:paraId="10C327F1">
            <w:pPr>
              <w:autoSpaceDE w:val="0"/>
              <w:autoSpaceDN w:val="0"/>
              <w:jc w:val="center"/>
              <w:rPr>
                <w:rFonts w:ascii="Arial" w:hAnsi="Times New Roman" w:eastAsia="宋体" w:cs="Times New Roman"/>
                <w:kern w:val="0"/>
                <w:sz w:val="22"/>
                <w:szCs w:val="22"/>
              </w:rPr>
            </w:pPr>
          </w:p>
        </w:tc>
        <w:tc>
          <w:tcPr>
            <w:tcW w:w="778" w:type="pct"/>
            <w:vMerge w:val="continue"/>
            <w:noWrap w:val="0"/>
            <w:vAlign w:val="center"/>
          </w:tcPr>
          <w:p w14:paraId="37D1E942">
            <w:pPr>
              <w:autoSpaceDE w:val="0"/>
              <w:autoSpaceDN w:val="0"/>
              <w:jc w:val="center"/>
              <w:rPr>
                <w:rFonts w:ascii="Arial" w:hAnsi="Times New Roman" w:eastAsia="宋体" w:cs="Times New Roman"/>
                <w:kern w:val="0"/>
                <w:sz w:val="22"/>
                <w:szCs w:val="22"/>
              </w:rPr>
            </w:pPr>
          </w:p>
        </w:tc>
      </w:tr>
      <w:tr w14:paraId="79C9F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continue"/>
            <w:tcBorders>
              <w:top w:val="single" w:color="000000" w:sz="4" w:space="0"/>
              <w:bottom w:val="single" w:color="000000" w:sz="4" w:space="0"/>
            </w:tcBorders>
            <w:noWrap w:val="0"/>
            <w:vAlign w:val="top"/>
          </w:tcPr>
          <w:p w14:paraId="2A43A828">
            <w:pPr>
              <w:autoSpaceDE w:val="0"/>
              <w:autoSpaceDN w:val="0"/>
              <w:jc w:val="center"/>
              <w:rPr>
                <w:rFonts w:ascii="Arial" w:hAnsi="Times New Roman" w:eastAsia="宋体" w:cs="Times New Roman"/>
                <w:kern w:val="0"/>
                <w:sz w:val="22"/>
                <w:szCs w:val="22"/>
              </w:rPr>
            </w:pPr>
          </w:p>
        </w:tc>
        <w:tc>
          <w:tcPr>
            <w:tcW w:w="1317" w:type="pct"/>
            <w:vMerge w:val="continue"/>
            <w:tcBorders>
              <w:top w:val="single" w:color="000000" w:sz="4" w:space="0"/>
              <w:bottom w:val="single" w:color="000000" w:sz="4" w:space="0"/>
            </w:tcBorders>
            <w:noWrap w:val="0"/>
            <w:vAlign w:val="top"/>
          </w:tcPr>
          <w:p w14:paraId="7EF9E46C">
            <w:pPr>
              <w:autoSpaceDE w:val="0"/>
              <w:autoSpaceDN w:val="0"/>
              <w:jc w:val="center"/>
              <w:rPr>
                <w:rFonts w:ascii="Arial" w:hAnsi="Times New Roman" w:eastAsia="宋体" w:cs="Times New Roman"/>
                <w:kern w:val="0"/>
                <w:sz w:val="22"/>
                <w:szCs w:val="22"/>
              </w:rPr>
            </w:pPr>
          </w:p>
        </w:tc>
        <w:tc>
          <w:tcPr>
            <w:tcW w:w="838" w:type="pct"/>
            <w:tcBorders>
              <w:top w:val="single" w:color="000000" w:sz="4" w:space="0"/>
              <w:bottom w:val="single" w:color="000000" w:sz="4" w:space="0"/>
            </w:tcBorders>
            <w:noWrap w:val="0"/>
            <w:vAlign w:val="center"/>
          </w:tcPr>
          <w:p w14:paraId="1243665B">
            <w:pPr>
              <w:pStyle w:val="98"/>
              <w:autoSpaceDE w:val="0"/>
              <w:autoSpaceDN w:val="0"/>
              <w:spacing w:before="45" w:line="207" w:lineRule="auto"/>
              <w:ind w:left="73"/>
              <w:jc w:val="center"/>
              <w:rPr>
                <w:rFonts w:hint="default" w:eastAsia="宋体"/>
                <w:kern w:val="0"/>
                <w:sz w:val="22"/>
                <w:szCs w:val="22"/>
                <w:lang w:val="en-US" w:eastAsia="zh-CN"/>
              </w:rPr>
            </w:pPr>
            <w:r>
              <w:rPr>
                <w:kern w:val="0"/>
                <w:sz w:val="22"/>
                <w:szCs w:val="22"/>
              </w:rPr>
              <w:t>CD</w:t>
            </w:r>
            <w:r>
              <w:rPr>
                <w:rFonts w:hint="eastAsia"/>
                <w:spacing w:val="5"/>
                <w:kern w:val="0"/>
                <w:sz w:val="22"/>
                <w:szCs w:val="22"/>
                <w:lang w:val="en-US" w:eastAsia="zh-CN"/>
              </w:rPr>
              <w:t>28</w:t>
            </w:r>
          </w:p>
        </w:tc>
        <w:tc>
          <w:tcPr>
            <w:tcW w:w="1028" w:type="pct"/>
            <w:vMerge w:val="continue"/>
            <w:tcBorders>
              <w:top w:val="single" w:color="000000" w:sz="4" w:space="0"/>
              <w:bottom w:val="single" w:color="000000" w:sz="4" w:space="0"/>
            </w:tcBorders>
            <w:noWrap w:val="0"/>
            <w:vAlign w:val="center"/>
          </w:tcPr>
          <w:p w14:paraId="715C7E41">
            <w:pPr>
              <w:autoSpaceDE w:val="0"/>
              <w:autoSpaceDN w:val="0"/>
              <w:jc w:val="center"/>
              <w:rPr>
                <w:rFonts w:ascii="Arial" w:hAnsi="Times New Roman" w:eastAsia="宋体" w:cs="Times New Roman"/>
                <w:kern w:val="0"/>
                <w:sz w:val="22"/>
                <w:szCs w:val="22"/>
              </w:rPr>
            </w:pPr>
          </w:p>
        </w:tc>
        <w:tc>
          <w:tcPr>
            <w:tcW w:w="752" w:type="pct"/>
            <w:vMerge w:val="continue"/>
            <w:tcBorders>
              <w:top w:val="single" w:color="000000" w:sz="4" w:space="0"/>
              <w:bottom w:val="single" w:color="000000" w:sz="4" w:space="0"/>
            </w:tcBorders>
            <w:noWrap w:val="0"/>
            <w:vAlign w:val="top"/>
          </w:tcPr>
          <w:p w14:paraId="16586103">
            <w:pPr>
              <w:autoSpaceDE w:val="0"/>
              <w:autoSpaceDN w:val="0"/>
              <w:jc w:val="center"/>
              <w:rPr>
                <w:rFonts w:ascii="Arial" w:hAnsi="Times New Roman" w:eastAsia="宋体" w:cs="Times New Roman"/>
                <w:kern w:val="0"/>
                <w:sz w:val="22"/>
                <w:szCs w:val="22"/>
              </w:rPr>
            </w:pPr>
          </w:p>
        </w:tc>
        <w:tc>
          <w:tcPr>
            <w:tcW w:w="778" w:type="pct"/>
            <w:vMerge w:val="continue"/>
            <w:noWrap w:val="0"/>
            <w:vAlign w:val="center"/>
          </w:tcPr>
          <w:p w14:paraId="67218AC6">
            <w:pPr>
              <w:autoSpaceDE w:val="0"/>
              <w:autoSpaceDN w:val="0"/>
              <w:jc w:val="center"/>
              <w:rPr>
                <w:rFonts w:ascii="Arial" w:hAnsi="Times New Roman" w:eastAsia="宋体" w:cs="Times New Roman"/>
                <w:kern w:val="0"/>
                <w:sz w:val="22"/>
                <w:szCs w:val="22"/>
              </w:rPr>
            </w:pPr>
          </w:p>
        </w:tc>
      </w:tr>
      <w:tr w14:paraId="0468F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continue"/>
            <w:tcBorders>
              <w:top w:val="single" w:color="000000" w:sz="4" w:space="0"/>
              <w:bottom w:val="single" w:color="000000" w:sz="4" w:space="0"/>
            </w:tcBorders>
            <w:noWrap w:val="0"/>
            <w:vAlign w:val="top"/>
          </w:tcPr>
          <w:p w14:paraId="5F0CA451">
            <w:pPr>
              <w:autoSpaceDE w:val="0"/>
              <w:autoSpaceDN w:val="0"/>
              <w:jc w:val="center"/>
              <w:rPr>
                <w:rFonts w:ascii="Arial" w:hAnsi="Times New Roman" w:eastAsia="宋体" w:cs="Times New Roman"/>
                <w:kern w:val="0"/>
                <w:sz w:val="22"/>
                <w:szCs w:val="22"/>
              </w:rPr>
            </w:pPr>
          </w:p>
        </w:tc>
        <w:tc>
          <w:tcPr>
            <w:tcW w:w="1317" w:type="pct"/>
            <w:vMerge w:val="continue"/>
            <w:tcBorders>
              <w:top w:val="single" w:color="000000" w:sz="4" w:space="0"/>
              <w:bottom w:val="single" w:color="000000" w:sz="4" w:space="0"/>
            </w:tcBorders>
            <w:noWrap w:val="0"/>
            <w:vAlign w:val="top"/>
          </w:tcPr>
          <w:p w14:paraId="537F790F">
            <w:pPr>
              <w:autoSpaceDE w:val="0"/>
              <w:autoSpaceDN w:val="0"/>
              <w:jc w:val="center"/>
              <w:rPr>
                <w:rFonts w:ascii="Arial" w:hAnsi="Times New Roman" w:eastAsia="宋体" w:cs="Times New Roman"/>
                <w:kern w:val="0"/>
                <w:sz w:val="22"/>
                <w:szCs w:val="22"/>
              </w:rPr>
            </w:pPr>
          </w:p>
        </w:tc>
        <w:tc>
          <w:tcPr>
            <w:tcW w:w="838" w:type="pct"/>
            <w:tcBorders>
              <w:top w:val="single" w:color="000000" w:sz="4" w:space="0"/>
              <w:bottom w:val="single" w:color="000000" w:sz="4" w:space="0"/>
            </w:tcBorders>
            <w:noWrap w:val="0"/>
            <w:vAlign w:val="center"/>
          </w:tcPr>
          <w:p w14:paraId="75B0CC20">
            <w:pPr>
              <w:pStyle w:val="98"/>
              <w:autoSpaceDE w:val="0"/>
              <w:autoSpaceDN w:val="0"/>
              <w:spacing w:before="46" w:line="206" w:lineRule="auto"/>
              <w:ind w:left="73"/>
              <w:jc w:val="center"/>
              <w:rPr>
                <w:rFonts w:hint="default" w:eastAsia="宋体"/>
                <w:kern w:val="0"/>
                <w:sz w:val="22"/>
                <w:szCs w:val="22"/>
                <w:lang w:val="en-US" w:eastAsia="zh-CN"/>
              </w:rPr>
            </w:pPr>
            <w:r>
              <w:rPr>
                <w:kern w:val="0"/>
                <w:sz w:val="22"/>
                <w:szCs w:val="22"/>
              </w:rPr>
              <w:t>CD</w:t>
            </w:r>
            <w:r>
              <w:rPr>
                <w:rFonts w:hint="eastAsia"/>
                <w:spacing w:val="5"/>
                <w:kern w:val="0"/>
                <w:sz w:val="22"/>
                <w:szCs w:val="22"/>
                <w:lang w:val="en-US" w:eastAsia="zh-CN"/>
              </w:rPr>
              <w:t>45</w:t>
            </w:r>
          </w:p>
        </w:tc>
        <w:tc>
          <w:tcPr>
            <w:tcW w:w="1028" w:type="pct"/>
            <w:vMerge w:val="continue"/>
            <w:tcBorders>
              <w:top w:val="single" w:color="000000" w:sz="4" w:space="0"/>
              <w:bottom w:val="single" w:color="000000" w:sz="4" w:space="0"/>
            </w:tcBorders>
            <w:noWrap w:val="0"/>
            <w:vAlign w:val="center"/>
          </w:tcPr>
          <w:p w14:paraId="003B58D4">
            <w:pPr>
              <w:autoSpaceDE w:val="0"/>
              <w:autoSpaceDN w:val="0"/>
              <w:jc w:val="center"/>
              <w:rPr>
                <w:rFonts w:ascii="Arial" w:hAnsi="Times New Roman" w:eastAsia="宋体" w:cs="Times New Roman"/>
                <w:kern w:val="0"/>
                <w:sz w:val="22"/>
                <w:szCs w:val="22"/>
              </w:rPr>
            </w:pPr>
          </w:p>
        </w:tc>
        <w:tc>
          <w:tcPr>
            <w:tcW w:w="752" w:type="pct"/>
            <w:vMerge w:val="continue"/>
            <w:tcBorders>
              <w:top w:val="single" w:color="000000" w:sz="4" w:space="0"/>
              <w:bottom w:val="single" w:color="000000" w:sz="4" w:space="0"/>
            </w:tcBorders>
            <w:noWrap w:val="0"/>
            <w:vAlign w:val="top"/>
          </w:tcPr>
          <w:p w14:paraId="70A479C5">
            <w:pPr>
              <w:autoSpaceDE w:val="0"/>
              <w:autoSpaceDN w:val="0"/>
              <w:jc w:val="center"/>
              <w:rPr>
                <w:rFonts w:ascii="Arial" w:hAnsi="Times New Roman" w:eastAsia="宋体" w:cs="Times New Roman"/>
                <w:kern w:val="0"/>
                <w:sz w:val="22"/>
                <w:szCs w:val="22"/>
              </w:rPr>
            </w:pPr>
          </w:p>
        </w:tc>
        <w:tc>
          <w:tcPr>
            <w:tcW w:w="778" w:type="pct"/>
            <w:vMerge w:val="continue"/>
            <w:tcBorders>
              <w:bottom w:val="single" w:color="000000" w:sz="4" w:space="0"/>
            </w:tcBorders>
            <w:noWrap w:val="0"/>
            <w:vAlign w:val="center"/>
          </w:tcPr>
          <w:p w14:paraId="42E0915B">
            <w:pPr>
              <w:autoSpaceDE w:val="0"/>
              <w:autoSpaceDN w:val="0"/>
              <w:jc w:val="center"/>
              <w:rPr>
                <w:rFonts w:ascii="Arial" w:hAnsi="Times New Roman" w:eastAsia="宋体" w:cs="Times New Roman"/>
                <w:kern w:val="0"/>
                <w:sz w:val="22"/>
                <w:szCs w:val="22"/>
              </w:rPr>
            </w:pPr>
          </w:p>
        </w:tc>
      </w:tr>
      <w:tr w14:paraId="741B8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restart"/>
            <w:tcBorders>
              <w:top w:val="single" w:color="000000" w:sz="4" w:space="0"/>
              <w:bottom w:val="single" w:color="000000" w:sz="4" w:space="0"/>
            </w:tcBorders>
            <w:noWrap w:val="0"/>
            <w:vAlign w:val="top"/>
          </w:tcPr>
          <w:p w14:paraId="318CD643">
            <w:pPr>
              <w:pStyle w:val="98"/>
              <w:autoSpaceDE w:val="0"/>
              <w:autoSpaceDN w:val="0"/>
              <w:spacing w:before="62" w:line="241" w:lineRule="auto"/>
              <w:ind w:left="65"/>
              <w:jc w:val="center"/>
              <w:rPr>
                <w:rFonts w:hint="eastAsia"/>
                <w:kern w:val="0"/>
                <w:sz w:val="22"/>
                <w:szCs w:val="22"/>
                <w:lang w:val="en-US" w:eastAsia="zh-CN"/>
              </w:rPr>
            </w:pPr>
          </w:p>
          <w:p w14:paraId="6426005B">
            <w:pPr>
              <w:pStyle w:val="98"/>
              <w:autoSpaceDE w:val="0"/>
              <w:autoSpaceDN w:val="0"/>
              <w:spacing w:before="62" w:line="241" w:lineRule="auto"/>
              <w:ind w:left="65"/>
              <w:jc w:val="center"/>
              <w:rPr>
                <w:rFonts w:hint="eastAsia"/>
                <w:kern w:val="0"/>
                <w:sz w:val="22"/>
                <w:szCs w:val="22"/>
                <w:lang w:val="en-US" w:eastAsia="zh-CN"/>
              </w:rPr>
            </w:pPr>
          </w:p>
          <w:p w14:paraId="3F8F0B21">
            <w:pPr>
              <w:pStyle w:val="98"/>
              <w:autoSpaceDE w:val="0"/>
              <w:autoSpaceDN w:val="0"/>
              <w:spacing w:before="62" w:line="241" w:lineRule="auto"/>
              <w:ind w:left="65"/>
              <w:jc w:val="center"/>
              <w:rPr>
                <w:rFonts w:hint="eastAsia" w:ascii="Arial" w:eastAsia="宋体"/>
                <w:kern w:val="0"/>
                <w:sz w:val="22"/>
                <w:szCs w:val="22"/>
                <w:lang w:val="en-US" w:eastAsia="zh-CN"/>
              </w:rPr>
            </w:pPr>
            <w:r>
              <w:rPr>
                <w:rFonts w:hint="eastAsia"/>
                <w:kern w:val="0"/>
                <w:sz w:val="22"/>
                <w:szCs w:val="22"/>
                <w:lang w:val="en-US" w:eastAsia="zh-CN"/>
              </w:rPr>
              <w:t>3</w:t>
            </w:r>
          </w:p>
        </w:tc>
        <w:tc>
          <w:tcPr>
            <w:tcW w:w="1317" w:type="pct"/>
            <w:vMerge w:val="restart"/>
            <w:tcBorders>
              <w:top w:val="single" w:color="000000" w:sz="4" w:space="0"/>
              <w:bottom w:val="single" w:color="000000" w:sz="4" w:space="0"/>
            </w:tcBorders>
            <w:noWrap w:val="0"/>
            <w:vAlign w:val="top"/>
          </w:tcPr>
          <w:p w14:paraId="7886D17E">
            <w:pPr>
              <w:autoSpaceDE w:val="0"/>
              <w:autoSpaceDN w:val="0"/>
              <w:jc w:val="center"/>
              <w:rPr>
                <w:rFonts w:hint="eastAsia" w:ascii="宋体" w:hAnsi="宋体" w:eastAsia="宋体" w:cs="宋体"/>
                <w:snapToGrid w:val="0"/>
                <w:color w:val="000000"/>
                <w:kern w:val="0"/>
                <w:sz w:val="22"/>
                <w:szCs w:val="22"/>
                <w:lang w:val="en-US" w:eastAsia="zh-CN" w:bidi="ar-SA"/>
              </w:rPr>
            </w:pPr>
          </w:p>
          <w:p w14:paraId="2D3B39AD">
            <w:pPr>
              <w:autoSpaceDE w:val="0"/>
              <w:autoSpaceDN w:val="0"/>
              <w:jc w:val="center"/>
              <w:rPr>
                <w:rFonts w:hint="eastAsia" w:ascii="宋体" w:hAnsi="宋体" w:eastAsia="宋体" w:cs="宋体"/>
                <w:snapToGrid w:val="0"/>
                <w:color w:val="000000"/>
                <w:kern w:val="0"/>
                <w:sz w:val="22"/>
                <w:szCs w:val="22"/>
                <w:lang w:val="en-US" w:eastAsia="zh-CN" w:bidi="ar-SA"/>
              </w:rPr>
            </w:pPr>
          </w:p>
          <w:p w14:paraId="1523C591">
            <w:pPr>
              <w:autoSpaceDE w:val="0"/>
              <w:autoSpaceDN w:val="0"/>
              <w:jc w:val="center"/>
              <w:rPr>
                <w:rFonts w:hint="eastAsia" w:ascii="宋体" w:hAnsi="宋体" w:eastAsia="宋体" w:cs="宋体"/>
                <w:snapToGrid w:val="0"/>
                <w:color w:val="000000"/>
                <w:kern w:val="0"/>
                <w:sz w:val="22"/>
                <w:szCs w:val="22"/>
                <w:lang w:val="en-US" w:eastAsia="zh-CN" w:bidi="ar-SA"/>
              </w:rPr>
            </w:pPr>
          </w:p>
          <w:p w14:paraId="3A928DA2">
            <w:pPr>
              <w:autoSpaceDE w:val="0"/>
              <w:autoSpaceDN w:val="0"/>
              <w:jc w:val="center"/>
              <w:rPr>
                <w:rFonts w:hint="default" w:ascii="Arial" w:hAnsi="Times New Roman" w:eastAsia="宋体" w:cs="Times New Roman"/>
                <w:kern w:val="0"/>
                <w:sz w:val="22"/>
                <w:szCs w:val="22"/>
                <w:lang w:val="en-US" w:eastAsia="zh-CN"/>
              </w:rPr>
            </w:pPr>
            <w:r>
              <w:rPr>
                <w:rFonts w:hint="eastAsia" w:ascii="宋体" w:hAnsi="宋体" w:eastAsia="宋体" w:cs="宋体"/>
                <w:snapToGrid w:val="0"/>
                <w:color w:val="000000"/>
                <w:kern w:val="0"/>
                <w:sz w:val="22"/>
                <w:szCs w:val="22"/>
                <w:lang w:val="en-US" w:eastAsia="zh-CN" w:bidi="ar-SA"/>
              </w:rPr>
              <w:t>调节抑制性T细胞检测</w:t>
            </w:r>
          </w:p>
        </w:tc>
        <w:tc>
          <w:tcPr>
            <w:tcW w:w="838" w:type="pct"/>
            <w:tcBorders>
              <w:top w:val="single" w:color="000000" w:sz="4" w:space="0"/>
              <w:bottom w:val="single" w:color="000000" w:sz="4" w:space="0"/>
            </w:tcBorders>
            <w:noWrap w:val="0"/>
            <w:vAlign w:val="center"/>
          </w:tcPr>
          <w:p w14:paraId="351560B9">
            <w:pPr>
              <w:pStyle w:val="98"/>
              <w:autoSpaceDE w:val="0"/>
              <w:autoSpaceDN w:val="0"/>
              <w:spacing w:before="46" w:line="206" w:lineRule="auto"/>
              <w:ind w:left="73"/>
              <w:jc w:val="center"/>
              <w:rPr>
                <w:rFonts w:hint="default" w:eastAsia="宋体"/>
                <w:kern w:val="0"/>
                <w:sz w:val="22"/>
                <w:szCs w:val="22"/>
                <w:lang w:val="en-US" w:eastAsia="zh-CN"/>
              </w:rPr>
            </w:pPr>
            <w:r>
              <w:rPr>
                <w:rFonts w:hint="eastAsia"/>
                <w:kern w:val="0"/>
                <w:sz w:val="22"/>
                <w:szCs w:val="22"/>
                <w:lang w:val="en-US" w:eastAsia="zh-CN"/>
              </w:rPr>
              <w:t>CD4</w:t>
            </w:r>
          </w:p>
        </w:tc>
        <w:tc>
          <w:tcPr>
            <w:tcW w:w="1028" w:type="pct"/>
            <w:vMerge w:val="restart"/>
            <w:tcBorders>
              <w:top w:val="single" w:color="000000" w:sz="4" w:space="0"/>
              <w:bottom w:val="single" w:color="000000" w:sz="4" w:space="0"/>
            </w:tcBorders>
            <w:noWrap w:val="0"/>
            <w:vAlign w:val="center"/>
          </w:tcPr>
          <w:p w14:paraId="3D0AC44D">
            <w:pPr>
              <w:pStyle w:val="98"/>
              <w:autoSpaceDE w:val="0"/>
              <w:autoSpaceDN w:val="0"/>
              <w:spacing w:before="62"/>
              <w:ind w:left="85"/>
              <w:jc w:val="center"/>
              <w:rPr>
                <w:rFonts w:hint="eastAsia"/>
                <w:spacing w:val="-3"/>
                <w:kern w:val="0"/>
                <w:sz w:val="22"/>
                <w:szCs w:val="22"/>
                <w:lang w:val="en-US" w:eastAsia="zh-CN"/>
              </w:rPr>
            </w:pPr>
          </w:p>
          <w:p w14:paraId="3DD97695">
            <w:pPr>
              <w:pStyle w:val="98"/>
              <w:autoSpaceDE w:val="0"/>
              <w:autoSpaceDN w:val="0"/>
              <w:spacing w:before="62"/>
              <w:ind w:left="85"/>
              <w:jc w:val="center"/>
              <w:rPr>
                <w:rFonts w:hint="eastAsia"/>
                <w:spacing w:val="-3"/>
                <w:kern w:val="0"/>
                <w:sz w:val="22"/>
                <w:szCs w:val="22"/>
                <w:lang w:val="en-US" w:eastAsia="zh-CN"/>
              </w:rPr>
            </w:pPr>
          </w:p>
          <w:p w14:paraId="1DFEE672">
            <w:pPr>
              <w:pStyle w:val="98"/>
              <w:autoSpaceDE w:val="0"/>
              <w:autoSpaceDN w:val="0"/>
              <w:spacing w:before="62"/>
              <w:ind w:left="85"/>
              <w:jc w:val="center"/>
              <w:rPr>
                <w:rFonts w:hint="default" w:ascii="Arial" w:eastAsia="宋体"/>
                <w:kern w:val="0"/>
                <w:sz w:val="22"/>
                <w:szCs w:val="22"/>
                <w:lang w:val="en-US" w:eastAsia="zh-CN"/>
              </w:rPr>
            </w:pPr>
            <w:r>
              <w:rPr>
                <w:rFonts w:hint="eastAsia"/>
                <w:spacing w:val="-3"/>
                <w:kern w:val="0"/>
                <w:sz w:val="22"/>
                <w:szCs w:val="22"/>
                <w:lang w:val="en-US" w:eastAsia="zh-CN"/>
              </w:rPr>
              <w:t>300</w:t>
            </w:r>
          </w:p>
        </w:tc>
        <w:tc>
          <w:tcPr>
            <w:tcW w:w="752" w:type="pct"/>
            <w:vMerge w:val="restart"/>
            <w:tcBorders>
              <w:top w:val="single" w:color="000000" w:sz="4" w:space="0"/>
              <w:bottom w:val="single" w:color="000000" w:sz="4" w:space="0"/>
            </w:tcBorders>
            <w:noWrap w:val="0"/>
            <w:vAlign w:val="top"/>
          </w:tcPr>
          <w:p w14:paraId="272777AD">
            <w:pPr>
              <w:pStyle w:val="98"/>
              <w:autoSpaceDE w:val="0"/>
              <w:autoSpaceDN w:val="0"/>
              <w:spacing w:before="61" w:line="219" w:lineRule="auto"/>
              <w:ind w:left="97"/>
              <w:jc w:val="center"/>
              <w:rPr>
                <w:rFonts w:hint="eastAsia"/>
                <w:spacing w:val="7"/>
                <w:kern w:val="0"/>
                <w:sz w:val="22"/>
                <w:szCs w:val="22"/>
                <w:lang w:val="en-US" w:eastAsia="zh-CN"/>
              </w:rPr>
            </w:pPr>
          </w:p>
          <w:p w14:paraId="08FE2C04">
            <w:pPr>
              <w:pStyle w:val="98"/>
              <w:autoSpaceDE w:val="0"/>
              <w:autoSpaceDN w:val="0"/>
              <w:spacing w:before="61" w:line="219" w:lineRule="auto"/>
              <w:ind w:left="97"/>
              <w:jc w:val="center"/>
              <w:rPr>
                <w:rFonts w:hint="eastAsia"/>
                <w:spacing w:val="7"/>
                <w:kern w:val="0"/>
                <w:sz w:val="22"/>
                <w:szCs w:val="22"/>
                <w:lang w:val="en-US" w:eastAsia="zh-CN"/>
              </w:rPr>
            </w:pPr>
          </w:p>
          <w:p w14:paraId="64F95608">
            <w:pPr>
              <w:pStyle w:val="98"/>
              <w:autoSpaceDE w:val="0"/>
              <w:autoSpaceDN w:val="0"/>
              <w:spacing w:before="61" w:line="219" w:lineRule="auto"/>
              <w:ind w:left="97"/>
              <w:jc w:val="center"/>
              <w:rPr>
                <w:rFonts w:hint="default" w:ascii="Arial" w:eastAsia="宋体"/>
                <w:kern w:val="0"/>
                <w:sz w:val="22"/>
                <w:szCs w:val="22"/>
                <w:lang w:val="en-US" w:eastAsia="zh-CN"/>
              </w:rPr>
            </w:pPr>
            <w:r>
              <w:rPr>
                <w:rFonts w:hint="eastAsia"/>
                <w:spacing w:val="7"/>
                <w:kern w:val="0"/>
                <w:sz w:val="22"/>
                <w:szCs w:val="22"/>
                <w:lang w:val="en-US" w:eastAsia="zh-CN"/>
              </w:rPr>
              <w:t>3个工作日</w:t>
            </w:r>
          </w:p>
        </w:tc>
        <w:tc>
          <w:tcPr>
            <w:tcW w:w="778" w:type="pct"/>
            <w:vMerge w:val="restart"/>
            <w:tcBorders>
              <w:top w:val="single" w:color="000000" w:sz="4" w:space="0"/>
            </w:tcBorders>
            <w:noWrap w:val="0"/>
            <w:vAlign w:val="center"/>
          </w:tcPr>
          <w:p w14:paraId="44A3C0EB">
            <w:pPr>
              <w:pStyle w:val="98"/>
              <w:autoSpaceDE w:val="0"/>
              <w:autoSpaceDN w:val="0"/>
              <w:spacing w:before="61" w:line="219" w:lineRule="auto"/>
              <w:ind w:left="97"/>
              <w:jc w:val="center"/>
              <w:rPr>
                <w:rFonts w:hint="eastAsia"/>
                <w:spacing w:val="7"/>
                <w:kern w:val="0"/>
                <w:sz w:val="22"/>
                <w:szCs w:val="22"/>
                <w:lang w:val="en-US" w:eastAsia="zh-CN"/>
              </w:rPr>
            </w:pPr>
          </w:p>
          <w:p w14:paraId="60E2D922">
            <w:pPr>
              <w:pStyle w:val="98"/>
              <w:autoSpaceDE w:val="0"/>
              <w:autoSpaceDN w:val="0"/>
              <w:spacing w:before="61" w:line="219" w:lineRule="auto"/>
              <w:ind w:left="97"/>
              <w:jc w:val="center"/>
              <w:rPr>
                <w:rFonts w:hint="eastAsia"/>
                <w:spacing w:val="7"/>
                <w:kern w:val="0"/>
                <w:sz w:val="22"/>
                <w:szCs w:val="22"/>
                <w:lang w:val="en-US" w:eastAsia="zh-CN"/>
              </w:rPr>
            </w:pPr>
          </w:p>
          <w:p w14:paraId="553E1234">
            <w:pPr>
              <w:pStyle w:val="98"/>
              <w:autoSpaceDE w:val="0"/>
              <w:autoSpaceDN w:val="0"/>
              <w:spacing w:before="61" w:line="219" w:lineRule="auto"/>
              <w:ind w:left="97" w:firstLine="474" w:firstLineChars="200"/>
              <w:jc w:val="center"/>
              <w:rPr>
                <w:rFonts w:hint="default"/>
                <w:spacing w:val="7"/>
                <w:kern w:val="0"/>
                <w:sz w:val="22"/>
                <w:szCs w:val="22"/>
                <w:lang w:val="en-US" w:eastAsia="zh-CN"/>
              </w:rPr>
            </w:pPr>
            <w:r>
              <w:rPr>
                <w:rFonts w:hint="eastAsia"/>
                <w:spacing w:val="7"/>
                <w:kern w:val="0"/>
                <w:sz w:val="22"/>
                <w:szCs w:val="22"/>
                <w:lang w:val="en-US" w:eastAsia="zh-CN"/>
              </w:rPr>
              <w:t>1000</w:t>
            </w:r>
          </w:p>
        </w:tc>
      </w:tr>
      <w:tr w14:paraId="0AF3B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continue"/>
            <w:tcBorders>
              <w:top w:val="single" w:color="000000" w:sz="4" w:space="0"/>
              <w:bottom w:val="single" w:color="000000" w:sz="4" w:space="0"/>
            </w:tcBorders>
            <w:noWrap w:val="0"/>
            <w:vAlign w:val="top"/>
          </w:tcPr>
          <w:p w14:paraId="7B669549">
            <w:pPr>
              <w:autoSpaceDE w:val="0"/>
              <w:autoSpaceDN w:val="0"/>
              <w:jc w:val="center"/>
              <w:rPr>
                <w:rFonts w:ascii="Arial" w:hAnsi="Times New Roman" w:eastAsia="宋体" w:cs="Times New Roman"/>
                <w:kern w:val="0"/>
                <w:sz w:val="22"/>
                <w:szCs w:val="22"/>
              </w:rPr>
            </w:pPr>
          </w:p>
        </w:tc>
        <w:tc>
          <w:tcPr>
            <w:tcW w:w="1317" w:type="pct"/>
            <w:vMerge w:val="continue"/>
            <w:tcBorders>
              <w:top w:val="single" w:color="000000" w:sz="4" w:space="0"/>
              <w:bottom w:val="single" w:color="000000" w:sz="4" w:space="0"/>
            </w:tcBorders>
            <w:noWrap w:val="0"/>
            <w:vAlign w:val="top"/>
          </w:tcPr>
          <w:p w14:paraId="2E529196">
            <w:pPr>
              <w:autoSpaceDE w:val="0"/>
              <w:autoSpaceDN w:val="0"/>
              <w:jc w:val="center"/>
              <w:rPr>
                <w:rFonts w:ascii="Arial" w:hAnsi="Times New Roman" w:eastAsia="宋体" w:cs="Times New Roman"/>
                <w:kern w:val="0"/>
                <w:sz w:val="22"/>
                <w:szCs w:val="22"/>
              </w:rPr>
            </w:pPr>
          </w:p>
        </w:tc>
        <w:tc>
          <w:tcPr>
            <w:tcW w:w="838" w:type="pct"/>
            <w:tcBorders>
              <w:top w:val="single" w:color="000000" w:sz="4" w:space="0"/>
              <w:bottom w:val="single" w:color="000000" w:sz="4" w:space="0"/>
            </w:tcBorders>
            <w:noWrap w:val="0"/>
            <w:vAlign w:val="center"/>
          </w:tcPr>
          <w:p w14:paraId="7C5DEE0E">
            <w:pPr>
              <w:pStyle w:val="98"/>
              <w:autoSpaceDE w:val="0"/>
              <w:autoSpaceDN w:val="0"/>
              <w:spacing w:before="46" w:line="206" w:lineRule="auto"/>
              <w:ind w:left="73"/>
              <w:jc w:val="center"/>
              <w:rPr>
                <w:rFonts w:hint="default" w:eastAsia="宋体"/>
                <w:kern w:val="0"/>
                <w:sz w:val="22"/>
                <w:szCs w:val="22"/>
                <w:lang w:val="en-US" w:eastAsia="zh-CN"/>
              </w:rPr>
            </w:pPr>
            <w:r>
              <w:rPr>
                <w:rFonts w:hint="eastAsia"/>
                <w:kern w:val="0"/>
                <w:sz w:val="22"/>
                <w:szCs w:val="22"/>
                <w:lang w:val="en-US" w:eastAsia="zh-CN"/>
              </w:rPr>
              <w:t>CD25</w:t>
            </w:r>
          </w:p>
        </w:tc>
        <w:tc>
          <w:tcPr>
            <w:tcW w:w="1028" w:type="pct"/>
            <w:vMerge w:val="continue"/>
            <w:tcBorders>
              <w:top w:val="single" w:color="000000" w:sz="4" w:space="0"/>
              <w:bottom w:val="single" w:color="000000" w:sz="4" w:space="0"/>
            </w:tcBorders>
            <w:noWrap w:val="0"/>
            <w:vAlign w:val="center"/>
          </w:tcPr>
          <w:p w14:paraId="39A590A9">
            <w:pPr>
              <w:autoSpaceDE w:val="0"/>
              <w:autoSpaceDN w:val="0"/>
              <w:jc w:val="center"/>
              <w:rPr>
                <w:rFonts w:ascii="Arial" w:hAnsi="Times New Roman" w:eastAsia="宋体" w:cs="Times New Roman"/>
                <w:kern w:val="0"/>
                <w:sz w:val="22"/>
                <w:szCs w:val="22"/>
              </w:rPr>
            </w:pPr>
          </w:p>
        </w:tc>
        <w:tc>
          <w:tcPr>
            <w:tcW w:w="752" w:type="pct"/>
            <w:vMerge w:val="continue"/>
            <w:tcBorders>
              <w:top w:val="single" w:color="000000" w:sz="4" w:space="0"/>
              <w:bottom w:val="single" w:color="000000" w:sz="4" w:space="0"/>
            </w:tcBorders>
            <w:noWrap w:val="0"/>
            <w:vAlign w:val="top"/>
          </w:tcPr>
          <w:p w14:paraId="59F43393">
            <w:pPr>
              <w:autoSpaceDE w:val="0"/>
              <w:autoSpaceDN w:val="0"/>
              <w:jc w:val="center"/>
              <w:rPr>
                <w:rFonts w:ascii="Arial" w:hAnsi="Times New Roman" w:eastAsia="宋体" w:cs="Times New Roman"/>
                <w:kern w:val="0"/>
                <w:sz w:val="22"/>
                <w:szCs w:val="22"/>
              </w:rPr>
            </w:pPr>
          </w:p>
        </w:tc>
        <w:tc>
          <w:tcPr>
            <w:tcW w:w="778" w:type="pct"/>
            <w:vMerge w:val="continue"/>
            <w:noWrap w:val="0"/>
            <w:vAlign w:val="center"/>
          </w:tcPr>
          <w:p w14:paraId="1105406D">
            <w:pPr>
              <w:autoSpaceDE w:val="0"/>
              <w:autoSpaceDN w:val="0"/>
              <w:jc w:val="center"/>
              <w:rPr>
                <w:rFonts w:ascii="Arial" w:hAnsi="Times New Roman" w:eastAsia="宋体" w:cs="Times New Roman"/>
                <w:kern w:val="0"/>
                <w:sz w:val="22"/>
                <w:szCs w:val="22"/>
              </w:rPr>
            </w:pPr>
          </w:p>
        </w:tc>
      </w:tr>
      <w:tr w14:paraId="04284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continue"/>
            <w:tcBorders>
              <w:top w:val="single" w:color="000000" w:sz="4" w:space="0"/>
              <w:bottom w:val="single" w:color="000000" w:sz="4" w:space="0"/>
            </w:tcBorders>
            <w:noWrap w:val="0"/>
            <w:vAlign w:val="top"/>
          </w:tcPr>
          <w:p w14:paraId="6B65155F">
            <w:pPr>
              <w:autoSpaceDE w:val="0"/>
              <w:autoSpaceDN w:val="0"/>
              <w:jc w:val="center"/>
              <w:rPr>
                <w:rFonts w:ascii="Arial" w:hAnsi="Times New Roman" w:eastAsia="宋体" w:cs="Times New Roman"/>
                <w:kern w:val="0"/>
                <w:sz w:val="22"/>
                <w:szCs w:val="22"/>
              </w:rPr>
            </w:pPr>
          </w:p>
        </w:tc>
        <w:tc>
          <w:tcPr>
            <w:tcW w:w="1317" w:type="pct"/>
            <w:vMerge w:val="continue"/>
            <w:tcBorders>
              <w:top w:val="single" w:color="000000" w:sz="4" w:space="0"/>
              <w:bottom w:val="single" w:color="000000" w:sz="4" w:space="0"/>
            </w:tcBorders>
            <w:noWrap w:val="0"/>
            <w:vAlign w:val="top"/>
          </w:tcPr>
          <w:p w14:paraId="17E2002F">
            <w:pPr>
              <w:autoSpaceDE w:val="0"/>
              <w:autoSpaceDN w:val="0"/>
              <w:jc w:val="center"/>
              <w:rPr>
                <w:rFonts w:ascii="Arial" w:hAnsi="Times New Roman" w:eastAsia="宋体" w:cs="Times New Roman"/>
                <w:kern w:val="0"/>
                <w:sz w:val="22"/>
                <w:szCs w:val="22"/>
              </w:rPr>
            </w:pPr>
          </w:p>
        </w:tc>
        <w:tc>
          <w:tcPr>
            <w:tcW w:w="838" w:type="pct"/>
            <w:tcBorders>
              <w:top w:val="single" w:color="000000" w:sz="4" w:space="0"/>
              <w:bottom w:val="single" w:color="000000" w:sz="4" w:space="0"/>
            </w:tcBorders>
            <w:noWrap w:val="0"/>
            <w:vAlign w:val="center"/>
          </w:tcPr>
          <w:p w14:paraId="58ACF8C0">
            <w:pPr>
              <w:pStyle w:val="98"/>
              <w:autoSpaceDE w:val="0"/>
              <w:autoSpaceDN w:val="0"/>
              <w:spacing w:before="46" w:line="206" w:lineRule="auto"/>
              <w:ind w:left="73"/>
              <w:jc w:val="center"/>
              <w:rPr>
                <w:rFonts w:hint="default" w:eastAsia="宋体"/>
                <w:kern w:val="0"/>
                <w:sz w:val="22"/>
                <w:szCs w:val="22"/>
                <w:lang w:val="en-US" w:eastAsia="zh-CN"/>
              </w:rPr>
            </w:pPr>
            <w:r>
              <w:rPr>
                <w:rFonts w:hint="eastAsia"/>
                <w:kern w:val="0"/>
                <w:sz w:val="22"/>
                <w:szCs w:val="22"/>
                <w:lang w:val="en-US" w:eastAsia="zh-CN"/>
              </w:rPr>
              <w:t>CD45</w:t>
            </w:r>
          </w:p>
        </w:tc>
        <w:tc>
          <w:tcPr>
            <w:tcW w:w="1028" w:type="pct"/>
            <w:vMerge w:val="continue"/>
            <w:tcBorders>
              <w:top w:val="single" w:color="000000" w:sz="4" w:space="0"/>
              <w:bottom w:val="single" w:color="000000" w:sz="4" w:space="0"/>
            </w:tcBorders>
            <w:noWrap w:val="0"/>
            <w:vAlign w:val="center"/>
          </w:tcPr>
          <w:p w14:paraId="30D544EE">
            <w:pPr>
              <w:autoSpaceDE w:val="0"/>
              <w:autoSpaceDN w:val="0"/>
              <w:jc w:val="center"/>
              <w:rPr>
                <w:rFonts w:ascii="Arial" w:hAnsi="Times New Roman" w:eastAsia="宋体" w:cs="Times New Roman"/>
                <w:kern w:val="0"/>
                <w:sz w:val="22"/>
                <w:szCs w:val="22"/>
              </w:rPr>
            </w:pPr>
          </w:p>
        </w:tc>
        <w:tc>
          <w:tcPr>
            <w:tcW w:w="752" w:type="pct"/>
            <w:vMerge w:val="continue"/>
            <w:tcBorders>
              <w:top w:val="single" w:color="000000" w:sz="4" w:space="0"/>
              <w:bottom w:val="single" w:color="000000" w:sz="4" w:space="0"/>
            </w:tcBorders>
            <w:noWrap w:val="0"/>
            <w:vAlign w:val="top"/>
          </w:tcPr>
          <w:p w14:paraId="6F606190">
            <w:pPr>
              <w:autoSpaceDE w:val="0"/>
              <w:autoSpaceDN w:val="0"/>
              <w:jc w:val="center"/>
              <w:rPr>
                <w:rFonts w:ascii="Arial" w:hAnsi="Times New Roman" w:eastAsia="宋体" w:cs="Times New Roman"/>
                <w:kern w:val="0"/>
                <w:sz w:val="22"/>
                <w:szCs w:val="22"/>
              </w:rPr>
            </w:pPr>
          </w:p>
        </w:tc>
        <w:tc>
          <w:tcPr>
            <w:tcW w:w="778" w:type="pct"/>
            <w:vMerge w:val="continue"/>
            <w:noWrap w:val="0"/>
            <w:vAlign w:val="center"/>
          </w:tcPr>
          <w:p w14:paraId="3BA787EE">
            <w:pPr>
              <w:autoSpaceDE w:val="0"/>
              <w:autoSpaceDN w:val="0"/>
              <w:jc w:val="center"/>
              <w:rPr>
                <w:rFonts w:ascii="Arial" w:hAnsi="Times New Roman" w:eastAsia="宋体" w:cs="Times New Roman"/>
                <w:kern w:val="0"/>
                <w:sz w:val="22"/>
                <w:szCs w:val="22"/>
              </w:rPr>
            </w:pPr>
          </w:p>
        </w:tc>
      </w:tr>
      <w:tr w14:paraId="56249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continue"/>
            <w:tcBorders>
              <w:top w:val="single" w:color="000000" w:sz="4" w:space="0"/>
              <w:bottom w:val="single" w:color="000000" w:sz="4" w:space="0"/>
            </w:tcBorders>
            <w:noWrap w:val="0"/>
            <w:vAlign w:val="top"/>
          </w:tcPr>
          <w:p w14:paraId="6349B7D2">
            <w:pPr>
              <w:autoSpaceDE w:val="0"/>
              <w:autoSpaceDN w:val="0"/>
              <w:jc w:val="center"/>
              <w:rPr>
                <w:rFonts w:ascii="Arial" w:hAnsi="Times New Roman" w:eastAsia="宋体" w:cs="Times New Roman"/>
                <w:kern w:val="0"/>
                <w:sz w:val="22"/>
                <w:szCs w:val="22"/>
              </w:rPr>
            </w:pPr>
          </w:p>
        </w:tc>
        <w:tc>
          <w:tcPr>
            <w:tcW w:w="1317" w:type="pct"/>
            <w:vMerge w:val="continue"/>
            <w:tcBorders>
              <w:top w:val="single" w:color="000000" w:sz="4" w:space="0"/>
              <w:bottom w:val="single" w:color="000000" w:sz="4" w:space="0"/>
            </w:tcBorders>
            <w:noWrap w:val="0"/>
            <w:vAlign w:val="top"/>
          </w:tcPr>
          <w:p w14:paraId="58990E50">
            <w:pPr>
              <w:autoSpaceDE w:val="0"/>
              <w:autoSpaceDN w:val="0"/>
              <w:jc w:val="center"/>
              <w:rPr>
                <w:rFonts w:ascii="Arial" w:hAnsi="Times New Roman" w:eastAsia="宋体" w:cs="Times New Roman"/>
                <w:kern w:val="0"/>
                <w:sz w:val="22"/>
                <w:szCs w:val="22"/>
              </w:rPr>
            </w:pPr>
          </w:p>
        </w:tc>
        <w:tc>
          <w:tcPr>
            <w:tcW w:w="838" w:type="pct"/>
            <w:tcBorders>
              <w:top w:val="single" w:color="000000" w:sz="4" w:space="0"/>
              <w:bottom w:val="single" w:color="000000" w:sz="4" w:space="0"/>
            </w:tcBorders>
            <w:noWrap w:val="0"/>
            <w:vAlign w:val="center"/>
          </w:tcPr>
          <w:p w14:paraId="4FE5EFDB">
            <w:pPr>
              <w:pStyle w:val="98"/>
              <w:autoSpaceDE w:val="0"/>
              <w:autoSpaceDN w:val="0"/>
              <w:spacing w:before="46" w:line="206" w:lineRule="auto"/>
              <w:ind w:left="73"/>
              <w:jc w:val="center"/>
              <w:rPr>
                <w:rFonts w:hint="default" w:eastAsia="宋体"/>
                <w:kern w:val="0"/>
                <w:sz w:val="22"/>
                <w:szCs w:val="22"/>
                <w:lang w:val="en-US" w:eastAsia="zh-CN"/>
              </w:rPr>
            </w:pPr>
            <w:r>
              <w:rPr>
                <w:rFonts w:hint="eastAsia"/>
                <w:kern w:val="0"/>
                <w:sz w:val="22"/>
                <w:szCs w:val="22"/>
                <w:lang w:val="en-US" w:eastAsia="zh-CN"/>
              </w:rPr>
              <w:t>CD45RO</w:t>
            </w:r>
          </w:p>
        </w:tc>
        <w:tc>
          <w:tcPr>
            <w:tcW w:w="1028" w:type="pct"/>
            <w:vMerge w:val="continue"/>
            <w:tcBorders>
              <w:top w:val="single" w:color="000000" w:sz="4" w:space="0"/>
              <w:bottom w:val="single" w:color="000000" w:sz="4" w:space="0"/>
            </w:tcBorders>
            <w:noWrap w:val="0"/>
            <w:vAlign w:val="center"/>
          </w:tcPr>
          <w:p w14:paraId="13378101">
            <w:pPr>
              <w:autoSpaceDE w:val="0"/>
              <w:autoSpaceDN w:val="0"/>
              <w:jc w:val="center"/>
              <w:rPr>
                <w:rFonts w:ascii="Arial" w:hAnsi="Times New Roman" w:eastAsia="宋体" w:cs="Times New Roman"/>
                <w:kern w:val="0"/>
                <w:sz w:val="22"/>
                <w:szCs w:val="22"/>
              </w:rPr>
            </w:pPr>
          </w:p>
        </w:tc>
        <w:tc>
          <w:tcPr>
            <w:tcW w:w="752" w:type="pct"/>
            <w:vMerge w:val="continue"/>
            <w:tcBorders>
              <w:top w:val="single" w:color="000000" w:sz="4" w:space="0"/>
              <w:bottom w:val="single" w:color="000000" w:sz="4" w:space="0"/>
            </w:tcBorders>
            <w:noWrap w:val="0"/>
            <w:vAlign w:val="top"/>
          </w:tcPr>
          <w:p w14:paraId="5B3CA12F">
            <w:pPr>
              <w:autoSpaceDE w:val="0"/>
              <w:autoSpaceDN w:val="0"/>
              <w:jc w:val="center"/>
              <w:rPr>
                <w:rFonts w:ascii="Arial" w:hAnsi="Times New Roman" w:eastAsia="宋体" w:cs="Times New Roman"/>
                <w:kern w:val="0"/>
                <w:sz w:val="22"/>
                <w:szCs w:val="22"/>
              </w:rPr>
            </w:pPr>
          </w:p>
        </w:tc>
        <w:tc>
          <w:tcPr>
            <w:tcW w:w="778" w:type="pct"/>
            <w:vMerge w:val="continue"/>
            <w:noWrap w:val="0"/>
            <w:vAlign w:val="center"/>
          </w:tcPr>
          <w:p w14:paraId="7EA17794">
            <w:pPr>
              <w:autoSpaceDE w:val="0"/>
              <w:autoSpaceDN w:val="0"/>
              <w:jc w:val="center"/>
              <w:rPr>
                <w:rFonts w:ascii="Arial" w:hAnsi="Times New Roman" w:eastAsia="宋体" w:cs="Times New Roman"/>
                <w:kern w:val="0"/>
                <w:sz w:val="22"/>
                <w:szCs w:val="22"/>
              </w:rPr>
            </w:pPr>
          </w:p>
        </w:tc>
      </w:tr>
      <w:tr w14:paraId="671E5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continue"/>
            <w:tcBorders>
              <w:top w:val="single" w:color="000000" w:sz="4" w:space="0"/>
              <w:bottom w:val="single" w:color="000000" w:sz="4" w:space="0"/>
            </w:tcBorders>
            <w:noWrap w:val="0"/>
            <w:vAlign w:val="top"/>
          </w:tcPr>
          <w:p w14:paraId="2C271179">
            <w:pPr>
              <w:autoSpaceDE w:val="0"/>
              <w:autoSpaceDN w:val="0"/>
              <w:jc w:val="center"/>
              <w:rPr>
                <w:rFonts w:ascii="Arial" w:hAnsi="Times New Roman" w:eastAsia="宋体" w:cs="Times New Roman"/>
                <w:kern w:val="0"/>
                <w:sz w:val="22"/>
                <w:szCs w:val="22"/>
              </w:rPr>
            </w:pPr>
          </w:p>
        </w:tc>
        <w:tc>
          <w:tcPr>
            <w:tcW w:w="1317" w:type="pct"/>
            <w:vMerge w:val="continue"/>
            <w:tcBorders>
              <w:top w:val="single" w:color="000000" w:sz="4" w:space="0"/>
              <w:bottom w:val="single" w:color="000000" w:sz="4" w:space="0"/>
            </w:tcBorders>
            <w:noWrap w:val="0"/>
            <w:vAlign w:val="top"/>
          </w:tcPr>
          <w:p w14:paraId="20723A5B">
            <w:pPr>
              <w:autoSpaceDE w:val="0"/>
              <w:autoSpaceDN w:val="0"/>
              <w:jc w:val="center"/>
              <w:rPr>
                <w:rFonts w:ascii="Arial" w:hAnsi="Times New Roman" w:eastAsia="宋体" w:cs="Times New Roman"/>
                <w:kern w:val="0"/>
                <w:sz w:val="22"/>
                <w:szCs w:val="22"/>
              </w:rPr>
            </w:pPr>
          </w:p>
        </w:tc>
        <w:tc>
          <w:tcPr>
            <w:tcW w:w="838" w:type="pct"/>
            <w:tcBorders>
              <w:top w:val="single" w:color="000000" w:sz="4" w:space="0"/>
              <w:bottom w:val="single" w:color="000000" w:sz="4" w:space="0"/>
            </w:tcBorders>
            <w:noWrap w:val="0"/>
            <w:vAlign w:val="center"/>
          </w:tcPr>
          <w:p w14:paraId="3FE02736">
            <w:pPr>
              <w:pStyle w:val="98"/>
              <w:autoSpaceDE w:val="0"/>
              <w:autoSpaceDN w:val="0"/>
              <w:spacing w:before="46" w:line="206" w:lineRule="auto"/>
              <w:ind w:left="73"/>
              <w:jc w:val="center"/>
              <w:rPr>
                <w:rFonts w:hint="default" w:eastAsia="宋体"/>
                <w:kern w:val="0"/>
                <w:sz w:val="22"/>
                <w:szCs w:val="22"/>
                <w:lang w:val="en-US" w:eastAsia="zh-CN"/>
              </w:rPr>
            </w:pPr>
            <w:r>
              <w:rPr>
                <w:rFonts w:hint="eastAsia"/>
                <w:kern w:val="0"/>
                <w:sz w:val="22"/>
                <w:szCs w:val="22"/>
                <w:lang w:val="en-US" w:eastAsia="zh-CN"/>
              </w:rPr>
              <w:t>CD45RA</w:t>
            </w:r>
          </w:p>
        </w:tc>
        <w:tc>
          <w:tcPr>
            <w:tcW w:w="1028" w:type="pct"/>
            <w:vMerge w:val="continue"/>
            <w:tcBorders>
              <w:top w:val="single" w:color="000000" w:sz="4" w:space="0"/>
              <w:bottom w:val="single" w:color="000000" w:sz="4" w:space="0"/>
            </w:tcBorders>
            <w:noWrap w:val="0"/>
            <w:vAlign w:val="center"/>
          </w:tcPr>
          <w:p w14:paraId="76009CB9">
            <w:pPr>
              <w:autoSpaceDE w:val="0"/>
              <w:autoSpaceDN w:val="0"/>
              <w:jc w:val="center"/>
              <w:rPr>
                <w:rFonts w:ascii="Arial" w:hAnsi="Times New Roman" w:eastAsia="宋体" w:cs="Times New Roman"/>
                <w:kern w:val="0"/>
                <w:sz w:val="22"/>
                <w:szCs w:val="22"/>
              </w:rPr>
            </w:pPr>
          </w:p>
        </w:tc>
        <w:tc>
          <w:tcPr>
            <w:tcW w:w="752" w:type="pct"/>
            <w:vMerge w:val="continue"/>
            <w:tcBorders>
              <w:top w:val="single" w:color="000000" w:sz="4" w:space="0"/>
              <w:bottom w:val="single" w:color="000000" w:sz="4" w:space="0"/>
            </w:tcBorders>
            <w:noWrap w:val="0"/>
            <w:vAlign w:val="top"/>
          </w:tcPr>
          <w:p w14:paraId="5982885E">
            <w:pPr>
              <w:autoSpaceDE w:val="0"/>
              <w:autoSpaceDN w:val="0"/>
              <w:jc w:val="center"/>
              <w:rPr>
                <w:rFonts w:ascii="Arial" w:hAnsi="Times New Roman" w:eastAsia="宋体" w:cs="Times New Roman"/>
                <w:kern w:val="0"/>
                <w:sz w:val="22"/>
                <w:szCs w:val="22"/>
              </w:rPr>
            </w:pPr>
          </w:p>
        </w:tc>
        <w:tc>
          <w:tcPr>
            <w:tcW w:w="778" w:type="pct"/>
            <w:vMerge w:val="continue"/>
            <w:noWrap w:val="0"/>
            <w:vAlign w:val="center"/>
          </w:tcPr>
          <w:p w14:paraId="3885C870">
            <w:pPr>
              <w:autoSpaceDE w:val="0"/>
              <w:autoSpaceDN w:val="0"/>
              <w:jc w:val="center"/>
              <w:rPr>
                <w:rFonts w:ascii="Arial" w:hAnsi="Times New Roman" w:eastAsia="宋体" w:cs="Times New Roman"/>
                <w:kern w:val="0"/>
                <w:sz w:val="22"/>
                <w:szCs w:val="22"/>
              </w:rPr>
            </w:pPr>
          </w:p>
        </w:tc>
      </w:tr>
      <w:tr w14:paraId="37770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vMerge w:val="continue"/>
            <w:tcBorders>
              <w:top w:val="single" w:color="000000" w:sz="4" w:space="0"/>
              <w:bottom w:val="single" w:color="000000" w:sz="4" w:space="0"/>
            </w:tcBorders>
            <w:noWrap w:val="0"/>
            <w:vAlign w:val="top"/>
          </w:tcPr>
          <w:p w14:paraId="61627683">
            <w:pPr>
              <w:autoSpaceDE w:val="0"/>
              <w:autoSpaceDN w:val="0"/>
              <w:jc w:val="center"/>
              <w:rPr>
                <w:rFonts w:ascii="Arial" w:hAnsi="Times New Roman" w:eastAsia="宋体" w:cs="Times New Roman"/>
                <w:kern w:val="0"/>
                <w:sz w:val="22"/>
                <w:szCs w:val="22"/>
              </w:rPr>
            </w:pPr>
          </w:p>
        </w:tc>
        <w:tc>
          <w:tcPr>
            <w:tcW w:w="1317" w:type="pct"/>
            <w:vMerge w:val="continue"/>
            <w:tcBorders>
              <w:top w:val="single" w:color="000000" w:sz="4" w:space="0"/>
              <w:bottom w:val="single" w:color="000000" w:sz="4" w:space="0"/>
            </w:tcBorders>
            <w:noWrap w:val="0"/>
            <w:vAlign w:val="top"/>
          </w:tcPr>
          <w:p w14:paraId="378229FC">
            <w:pPr>
              <w:autoSpaceDE w:val="0"/>
              <w:autoSpaceDN w:val="0"/>
              <w:jc w:val="center"/>
              <w:rPr>
                <w:rFonts w:ascii="Arial" w:hAnsi="Times New Roman" w:eastAsia="宋体" w:cs="Times New Roman"/>
                <w:kern w:val="0"/>
                <w:sz w:val="22"/>
                <w:szCs w:val="22"/>
              </w:rPr>
            </w:pPr>
          </w:p>
        </w:tc>
        <w:tc>
          <w:tcPr>
            <w:tcW w:w="838" w:type="pct"/>
            <w:tcBorders>
              <w:top w:val="single" w:color="000000" w:sz="4" w:space="0"/>
              <w:bottom w:val="single" w:color="000000" w:sz="4" w:space="0"/>
            </w:tcBorders>
            <w:noWrap w:val="0"/>
            <w:vAlign w:val="center"/>
          </w:tcPr>
          <w:p w14:paraId="325C7569">
            <w:pPr>
              <w:pStyle w:val="98"/>
              <w:autoSpaceDE w:val="0"/>
              <w:autoSpaceDN w:val="0"/>
              <w:spacing w:before="46" w:line="206" w:lineRule="auto"/>
              <w:ind w:left="73"/>
              <w:jc w:val="center"/>
              <w:rPr>
                <w:rFonts w:hint="default" w:eastAsia="宋体"/>
                <w:kern w:val="0"/>
                <w:sz w:val="22"/>
                <w:szCs w:val="22"/>
                <w:lang w:val="en-US" w:eastAsia="zh-CN"/>
              </w:rPr>
            </w:pPr>
            <w:r>
              <w:rPr>
                <w:rFonts w:hint="eastAsia"/>
                <w:kern w:val="0"/>
                <w:sz w:val="22"/>
                <w:szCs w:val="22"/>
                <w:lang w:val="en-US" w:eastAsia="zh-CN"/>
              </w:rPr>
              <w:t>CD127</w:t>
            </w:r>
          </w:p>
        </w:tc>
        <w:tc>
          <w:tcPr>
            <w:tcW w:w="1028" w:type="pct"/>
            <w:vMerge w:val="continue"/>
            <w:tcBorders>
              <w:top w:val="single" w:color="000000" w:sz="4" w:space="0"/>
              <w:bottom w:val="single" w:color="000000" w:sz="4" w:space="0"/>
            </w:tcBorders>
            <w:noWrap w:val="0"/>
            <w:vAlign w:val="center"/>
          </w:tcPr>
          <w:p w14:paraId="42324B87">
            <w:pPr>
              <w:autoSpaceDE w:val="0"/>
              <w:autoSpaceDN w:val="0"/>
              <w:jc w:val="center"/>
              <w:rPr>
                <w:rFonts w:ascii="Arial" w:hAnsi="Times New Roman" w:eastAsia="宋体" w:cs="Times New Roman"/>
                <w:kern w:val="0"/>
                <w:sz w:val="22"/>
                <w:szCs w:val="22"/>
              </w:rPr>
            </w:pPr>
          </w:p>
        </w:tc>
        <w:tc>
          <w:tcPr>
            <w:tcW w:w="752" w:type="pct"/>
            <w:vMerge w:val="continue"/>
            <w:tcBorders>
              <w:top w:val="single" w:color="000000" w:sz="4" w:space="0"/>
              <w:bottom w:val="single" w:color="000000" w:sz="4" w:space="0"/>
            </w:tcBorders>
            <w:noWrap w:val="0"/>
            <w:vAlign w:val="top"/>
          </w:tcPr>
          <w:p w14:paraId="3A6502B1">
            <w:pPr>
              <w:autoSpaceDE w:val="0"/>
              <w:autoSpaceDN w:val="0"/>
              <w:jc w:val="center"/>
              <w:rPr>
                <w:rFonts w:ascii="Arial" w:hAnsi="Times New Roman" w:eastAsia="宋体" w:cs="Times New Roman"/>
                <w:kern w:val="0"/>
                <w:sz w:val="22"/>
                <w:szCs w:val="22"/>
              </w:rPr>
            </w:pPr>
          </w:p>
        </w:tc>
        <w:tc>
          <w:tcPr>
            <w:tcW w:w="778" w:type="pct"/>
            <w:vMerge w:val="continue"/>
            <w:tcBorders>
              <w:bottom w:val="single" w:color="000000" w:sz="4" w:space="0"/>
            </w:tcBorders>
            <w:noWrap w:val="0"/>
            <w:vAlign w:val="center"/>
          </w:tcPr>
          <w:p w14:paraId="7182B46C">
            <w:pPr>
              <w:autoSpaceDE w:val="0"/>
              <w:autoSpaceDN w:val="0"/>
              <w:jc w:val="center"/>
              <w:rPr>
                <w:rFonts w:ascii="Arial" w:hAnsi="Times New Roman" w:eastAsia="宋体" w:cs="Times New Roman"/>
                <w:kern w:val="0"/>
                <w:sz w:val="22"/>
                <w:szCs w:val="22"/>
              </w:rPr>
            </w:pPr>
          </w:p>
        </w:tc>
      </w:tr>
      <w:tr w14:paraId="00781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 w:type="pct"/>
            <w:tcBorders>
              <w:top w:val="single" w:color="000000" w:sz="4" w:space="0"/>
            </w:tcBorders>
            <w:noWrap w:val="0"/>
            <w:vAlign w:val="top"/>
          </w:tcPr>
          <w:p w14:paraId="01B82F79">
            <w:pPr>
              <w:pStyle w:val="98"/>
              <w:autoSpaceDE w:val="0"/>
              <w:autoSpaceDN w:val="0"/>
              <w:spacing w:before="62" w:line="241" w:lineRule="auto"/>
              <w:ind w:left="65"/>
              <w:jc w:val="center"/>
              <w:rPr>
                <w:rFonts w:hint="eastAsia"/>
                <w:kern w:val="0"/>
                <w:sz w:val="22"/>
                <w:szCs w:val="22"/>
                <w:lang w:val="en-US" w:eastAsia="zh-CN"/>
              </w:rPr>
            </w:pPr>
          </w:p>
          <w:p w14:paraId="2C630473">
            <w:pPr>
              <w:pStyle w:val="98"/>
              <w:autoSpaceDE w:val="0"/>
              <w:autoSpaceDN w:val="0"/>
              <w:spacing w:before="62" w:line="241" w:lineRule="auto"/>
              <w:ind w:left="65"/>
              <w:jc w:val="center"/>
              <w:rPr>
                <w:rFonts w:hint="eastAsia"/>
                <w:kern w:val="0"/>
                <w:sz w:val="22"/>
                <w:szCs w:val="22"/>
                <w:lang w:val="en-US" w:eastAsia="zh-CN"/>
              </w:rPr>
            </w:pPr>
          </w:p>
          <w:p w14:paraId="2BED0051">
            <w:pPr>
              <w:pStyle w:val="98"/>
              <w:autoSpaceDE w:val="0"/>
              <w:autoSpaceDN w:val="0"/>
              <w:spacing w:before="62" w:line="241" w:lineRule="auto"/>
              <w:ind w:left="65"/>
              <w:jc w:val="center"/>
              <w:rPr>
                <w:rFonts w:hint="eastAsia" w:ascii="Arial" w:eastAsia="宋体"/>
                <w:kern w:val="0"/>
                <w:sz w:val="22"/>
                <w:szCs w:val="22"/>
                <w:lang w:val="en-US" w:eastAsia="zh-CN"/>
              </w:rPr>
            </w:pPr>
            <w:r>
              <w:rPr>
                <w:rFonts w:hint="eastAsia"/>
                <w:kern w:val="0"/>
                <w:sz w:val="22"/>
                <w:szCs w:val="22"/>
                <w:lang w:val="en-US" w:eastAsia="zh-CN"/>
              </w:rPr>
              <w:t>4</w:t>
            </w:r>
          </w:p>
        </w:tc>
        <w:tc>
          <w:tcPr>
            <w:tcW w:w="1317" w:type="pct"/>
            <w:tcBorders>
              <w:top w:val="single" w:color="000000" w:sz="4" w:space="0"/>
            </w:tcBorders>
            <w:noWrap w:val="0"/>
            <w:vAlign w:val="top"/>
          </w:tcPr>
          <w:p w14:paraId="49E0DB00">
            <w:pPr>
              <w:autoSpaceDE w:val="0"/>
              <w:autoSpaceDN w:val="0"/>
              <w:spacing w:line="276" w:lineRule="auto"/>
              <w:jc w:val="center"/>
              <w:rPr>
                <w:rFonts w:hint="eastAsia" w:ascii="Times New Roman" w:hAnsi="Times New Roman" w:eastAsia="宋体" w:cs="Times New Roman"/>
                <w:kern w:val="0"/>
                <w:sz w:val="22"/>
                <w:szCs w:val="22"/>
                <w:lang w:val="en-US" w:eastAsia="zh-CN"/>
              </w:rPr>
            </w:pPr>
          </w:p>
          <w:p w14:paraId="4570E28E">
            <w:pPr>
              <w:autoSpaceDE w:val="0"/>
              <w:autoSpaceDN w:val="0"/>
              <w:spacing w:line="276" w:lineRule="auto"/>
              <w:jc w:val="center"/>
              <w:rPr>
                <w:rFonts w:hint="eastAsia" w:ascii="Times New Roman" w:hAnsi="Times New Roman" w:eastAsia="宋体" w:cs="Times New Roman"/>
                <w:kern w:val="0"/>
                <w:sz w:val="22"/>
                <w:szCs w:val="22"/>
                <w:lang w:val="en-US" w:eastAsia="zh-CN"/>
              </w:rPr>
            </w:pPr>
          </w:p>
          <w:p w14:paraId="29CF74DE">
            <w:pPr>
              <w:autoSpaceDE w:val="0"/>
              <w:autoSpaceDN w:val="0"/>
              <w:spacing w:line="276" w:lineRule="auto"/>
              <w:jc w:val="center"/>
              <w:rPr>
                <w:rFonts w:hint="default" w:ascii="Arial"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Th辅助细胞亚群检测</w:t>
            </w:r>
          </w:p>
        </w:tc>
        <w:tc>
          <w:tcPr>
            <w:tcW w:w="838" w:type="pct"/>
            <w:tcBorders>
              <w:top w:val="single" w:color="000000" w:sz="4" w:space="0"/>
            </w:tcBorders>
            <w:noWrap w:val="0"/>
            <w:vAlign w:val="center"/>
          </w:tcPr>
          <w:p w14:paraId="36AC94D1">
            <w:pPr>
              <w:pStyle w:val="98"/>
              <w:autoSpaceDE w:val="0"/>
              <w:autoSpaceDN w:val="0"/>
              <w:spacing w:before="94" w:line="160" w:lineRule="auto"/>
              <w:ind w:left="73" w:leftChars="0"/>
              <w:jc w:val="center"/>
              <w:rPr>
                <w:rFonts w:ascii="Arial"/>
                <w:kern w:val="0"/>
                <w:sz w:val="22"/>
                <w:szCs w:val="22"/>
                <w:lang w:val="en-US" w:eastAsia="en-US"/>
              </w:rPr>
            </w:pPr>
            <w:r>
              <w:rPr>
                <w:spacing w:val="-2"/>
                <w:kern w:val="0"/>
                <w:sz w:val="22"/>
                <w:szCs w:val="22"/>
              </w:rPr>
              <w:t>CD45</w:t>
            </w:r>
          </w:p>
        </w:tc>
        <w:tc>
          <w:tcPr>
            <w:tcW w:w="1028" w:type="pct"/>
            <w:tcBorders>
              <w:top w:val="single" w:color="000000" w:sz="4" w:space="0"/>
            </w:tcBorders>
            <w:noWrap w:val="0"/>
            <w:vAlign w:val="center"/>
          </w:tcPr>
          <w:p w14:paraId="7EEB2145">
            <w:pPr>
              <w:pStyle w:val="98"/>
              <w:autoSpaceDE w:val="0"/>
              <w:autoSpaceDN w:val="0"/>
              <w:spacing w:before="62"/>
              <w:ind w:left="85"/>
              <w:jc w:val="center"/>
              <w:rPr>
                <w:rFonts w:hint="eastAsia"/>
                <w:spacing w:val="-3"/>
                <w:kern w:val="0"/>
                <w:sz w:val="22"/>
                <w:szCs w:val="22"/>
                <w:lang w:val="en-US" w:eastAsia="zh-CN"/>
              </w:rPr>
            </w:pPr>
          </w:p>
          <w:p w14:paraId="2A3526F5">
            <w:pPr>
              <w:pStyle w:val="98"/>
              <w:autoSpaceDE w:val="0"/>
              <w:autoSpaceDN w:val="0"/>
              <w:spacing w:before="62"/>
              <w:ind w:left="85"/>
              <w:jc w:val="center"/>
              <w:rPr>
                <w:rFonts w:hint="eastAsia"/>
                <w:spacing w:val="-3"/>
                <w:kern w:val="0"/>
                <w:sz w:val="22"/>
                <w:szCs w:val="22"/>
                <w:lang w:val="en-US" w:eastAsia="zh-CN"/>
              </w:rPr>
            </w:pPr>
          </w:p>
          <w:p w14:paraId="6597A8F9">
            <w:pPr>
              <w:pStyle w:val="98"/>
              <w:autoSpaceDE w:val="0"/>
              <w:autoSpaceDN w:val="0"/>
              <w:spacing w:before="62"/>
              <w:ind w:left="85"/>
              <w:jc w:val="center"/>
              <w:rPr>
                <w:rFonts w:hint="default" w:ascii="Arial"/>
                <w:kern w:val="0"/>
                <w:sz w:val="22"/>
                <w:szCs w:val="22"/>
                <w:lang w:val="en-US" w:eastAsia="zh-CN"/>
              </w:rPr>
            </w:pPr>
            <w:r>
              <w:rPr>
                <w:rFonts w:hint="eastAsia"/>
                <w:spacing w:val="-3"/>
                <w:kern w:val="0"/>
                <w:sz w:val="22"/>
                <w:szCs w:val="22"/>
                <w:lang w:val="en-US" w:eastAsia="zh-CN"/>
              </w:rPr>
              <w:t>300</w:t>
            </w:r>
          </w:p>
        </w:tc>
        <w:tc>
          <w:tcPr>
            <w:tcW w:w="752" w:type="pct"/>
            <w:tcBorders>
              <w:top w:val="single" w:color="000000" w:sz="4" w:space="0"/>
            </w:tcBorders>
            <w:noWrap w:val="0"/>
            <w:vAlign w:val="top"/>
          </w:tcPr>
          <w:p w14:paraId="5E08946F">
            <w:pPr>
              <w:pStyle w:val="98"/>
              <w:autoSpaceDE w:val="0"/>
              <w:autoSpaceDN w:val="0"/>
              <w:spacing w:before="62" w:line="219" w:lineRule="auto"/>
              <w:ind w:left="97"/>
              <w:jc w:val="center"/>
              <w:rPr>
                <w:rFonts w:hint="eastAsia"/>
                <w:spacing w:val="7"/>
                <w:kern w:val="0"/>
                <w:sz w:val="22"/>
                <w:szCs w:val="22"/>
                <w:lang w:val="en-US" w:eastAsia="zh-CN"/>
              </w:rPr>
            </w:pPr>
          </w:p>
          <w:p w14:paraId="287D0BE6">
            <w:pPr>
              <w:pStyle w:val="98"/>
              <w:autoSpaceDE w:val="0"/>
              <w:autoSpaceDN w:val="0"/>
              <w:spacing w:before="62" w:line="219" w:lineRule="auto"/>
              <w:ind w:left="97"/>
              <w:jc w:val="center"/>
              <w:rPr>
                <w:rFonts w:hint="eastAsia"/>
                <w:spacing w:val="7"/>
                <w:kern w:val="0"/>
                <w:sz w:val="22"/>
                <w:szCs w:val="22"/>
                <w:lang w:val="en-US" w:eastAsia="zh-CN"/>
              </w:rPr>
            </w:pPr>
          </w:p>
          <w:p w14:paraId="33892B22">
            <w:pPr>
              <w:pStyle w:val="98"/>
              <w:autoSpaceDE w:val="0"/>
              <w:autoSpaceDN w:val="0"/>
              <w:spacing w:before="62" w:line="219" w:lineRule="auto"/>
              <w:ind w:left="97"/>
              <w:jc w:val="center"/>
              <w:rPr>
                <w:rFonts w:hint="default" w:ascii="Arial"/>
                <w:kern w:val="0"/>
                <w:sz w:val="22"/>
                <w:szCs w:val="22"/>
                <w:lang w:val="en-US" w:eastAsia="zh-CN"/>
              </w:rPr>
            </w:pPr>
            <w:r>
              <w:rPr>
                <w:rFonts w:hint="eastAsia"/>
                <w:spacing w:val="7"/>
                <w:kern w:val="0"/>
                <w:sz w:val="22"/>
                <w:szCs w:val="22"/>
                <w:lang w:val="en-US" w:eastAsia="zh-CN"/>
              </w:rPr>
              <w:t>3个工作日</w:t>
            </w:r>
          </w:p>
        </w:tc>
        <w:tc>
          <w:tcPr>
            <w:tcW w:w="778" w:type="pct"/>
            <w:tcBorders>
              <w:top w:val="single" w:color="000000" w:sz="4" w:space="0"/>
            </w:tcBorders>
            <w:noWrap w:val="0"/>
            <w:vAlign w:val="center"/>
          </w:tcPr>
          <w:p w14:paraId="0D326272">
            <w:pPr>
              <w:pStyle w:val="98"/>
              <w:autoSpaceDE w:val="0"/>
              <w:autoSpaceDN w:val="0"/>
              <w:spacing w:before="62" w:line="219" w:lineRule="auto"/>
              <w:ind w:left="97"/>
              <w:jc w:val="center"/>
              <w:rPr>
                <w:rFonts w:hint="eastAsia"/>
                <w:spacing w:val="7"/>
                <w:kern w:val="0"/>
                <w:sz w:val="22"/>
                <w:szCs w:val="22"/>
                <w:lang w:val="en-US" w:eastAsia="zh-CN"/>
              </w:rPr>
            </w:pPr>
          </w:p>
          <w:p w14:paraId="7D77C361">
            <w:pPr>
              <w:pStyle w:val="98"/>
              <w:autoSpaceDE w:val="0"/>
              <w:autoSpaceDN w:val="0"/>
              <w:spacing w:before="62" w:line="219" w:lineRule="auto"/>
              <w:ind w:left="97"/>
              <w:jc w:val="center"/>
              <w:rPr>
                <w:rFonts w:hint="eastAsia"/>
                <w:spacing w:val="7"/>
                <w:kern w:val="0"/>
                <w:sz w:val="22"/>
                <w:szCs w:val="22"/>
                <w:lang w:val="en-US" w:eastAsia="zh-CN"/>
              </w:rPr>
            </w:pPr>
          </w:p>
          <w:p w14:paraId="5D58C25B">
            <w:pPr>
              <w:pStyle w:val="98"/>
              <w:autoSpaceDE w:val="0"/>
              <w:autoSpaceDN w:val="0"/>
              <w:spacing w:before="62" w:line="219" w:lineRule="auto"/>
              <w:ind w:left="97" w:firstLine="474" w:firstLineChars="200"/>
              <w:jc w:val="center"/>
              <w:rPr>
                <w:rFonts w:hint="default"/>
                <w:spacing w:val="7"/>
                <w:kern w:val="0"/>
                <w:sz w:val="22"/>
                <w:szCs w:val="22"/>
                <w:lang w:val="en-US" w:eastAsia="zh-CN"/>
              </w:rPr>
            </w:pPr>
            <w:r>
              <w:rPr>
                <w:rFonts w:hint="eastAsia"/>
                <w:spacing w:val="7"/>
                <w:kern w:val="0"/>
                <w:sz w:val="22"/>
                <w:szCs w:val="22"/>
                <w:lang w:val="en-US" w:eastAsia="zh-CN"/>
              </w:rPr>
              <w:t>200</w:t>
            </w:r>
          </w:p>
        </w:tc>
      </w:tr>
    </w:tbl>
    <w:p w14:paraId="5BC94055">
      <w:pPr>
        <w:spacing w:before="104" w:line="219" w:lineRule="auto"/>
        <w:jc w:val="center"/>
        <w:outlineLvl w:val="0"/>
        <w:rPr>
          <w:rFonts w:hint="eastAsia" w:ascii="新宋体" w:hAnsi="新宋体" w:eastAsia="新宋体" w:cs="新宋体"/>
          <w:b/>
          <w:bCs/>
          <w:spacing w:val="-3"/>
          <w:kern w:val="0"/>
          <w:sz w:val="22"/>
          <w:szCs w:val="22"/>
          <w:lang w:eastAsia="zh-CN"/>
        </w:rPr>
      </w:pPr>
    </w:p>
    <w:p w14:paraId="1625ABAE">
      <w:pPr>
        <w:spacing w:line="360" w:lineRule="auto"/>
        <w:jc w:val="both"/>
        <w:rPr>
          <w:rFonts w:hint="eastAsia" w:ascii="Times New Roman" w:hAnsi="Times New Roman" w:eastAsia="宋体" w:cs="Times New Roman"/>
          <w:b/>
          <w:bCs/>
          <w:color w:val="auto"/>
          <w:kern w:val="0"/>
          <w:sz w:val="22"/>
          <w:szCs w:val="22"/>
          <w:highlight w:val="none"/>
          <w:lang w:val="en-US" w:eastAsia="zh-CN"/>
        </w:rPr>
      </w:pPr>
      <w:r>
        <w:rPr>
          <w:rFonts w:hint="eastAsia" w:ascii="Times New Roman" w:hAnsi="Times New Roman" w:eastAsia="宋体" w:cs="Times New Roman"/>
          <w:b/>
          <w:bCs/>
          <w:color w:val="auto"/>
          <w:kern w:val="0"/>
          <w:sz w:val="22"/>
          <w:szCs w:val="22"/>
          <w:highlight w:val="none"/>
          <w:lang w:val="en-US" w:eastAsia="zh-CN"/>
        </w:rPr>
        <w:t>（四）《泰顺县人民医院检验</w:t>
      </w:r>
      <w:r>
        <w:rPr>
          <w:rFonts w:ascii="Times New Roman" w:hAnsi="Times New Roman" w:eastAsia="宋体" w:cs="Times New Roman"/>
          <w:b/>
          <w:bCs/>
          <w:spacing w:val="-1"/>
          <w:kern w:val="0"/>
          <w:sz w:val="22"/>
          <w:szCs w:val="22"/>
        </w:rPr>
        <w:t>抗感染细胞功能检测</w:t>
      </w:r>
      <w:r>
        <w:rPr>
          <w:rFonts w:hint="eastAsia" w:ascii="Times New Roman" w:hAnsi="Times New Roman" w:eastAsia="宋体" w:cs="Times New Roman"/>
          <w:b/>
          <w:bCs/>
          <w:spacing w:val="-1"/>
          <w:kern w:val="0"/>
          <w:sz w:val="22"/>
          <w:szCs w:val="22"/>
          <w:lang w:eastAsia="zh-CN"/>
        </w:rPr>
        <w:t>等</w:t>
      </w:r>
      <w:r>
        <w:rPr>
          <w:rFonts w:hint="eastAsia" w:ascii="Times New Roman" w:hAnsi="Times New Roman" w:eastAsia="宋体" w:cs="Times New Roman"/>
          <w:b/>
          <w:bCs/>
          <w:color w:val="auto"/>
          <w:kern w:val="0"/>
          <w:sz w:val="22"/>
          <w:szCs w:val="22"/>
          <w:highlight w:val="none"/>
          <w:lang w:val="en-US" w:eastAsia="zh-CN"/>
        </w:rPr>
        <w:t>外送服务季度考核表》</w:t>
      </w:r>
    </w:p>
    <w:tbl>
      <w:tblPr>
        <w:tblStyle w:val="32"/>
        <w:tblW w:w="9308" w:type="dxa"/>
        <w:tblInd w:w="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4479"/>
        <w:gridCol w:w="1185"/>
        <w:gridCol w:w="1086"/>
        <w:gridCol w:w="822"/>
      </w:tblGrid>
      <w:tr w14:paraId="16F665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l2br w:val="nil"/>
              <w:tr2bl w:val="nil"/>
            </w:tcBorders>
            <w:noWrap w:val="0"/>
            <w:vAlign w:val="center"/>
          </w:tcPr>
          <w:p w14:paraId="5DF7334D">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被考评单位</w:t>
            </w:r>
          </w:p>
        </w:tc>
        <w:tc>
          <w:tcPr>
            <w:tcW w:w="4479" w:type="dxa"/>
            <w:tcBorders>
              <w:tl2br w:val="nil"/>
              <w:tr2bl w:val="nil"/>
            </w:tcBorders>
            <w:noWrap w:val="0"/>
            <w:vAlign w:val="center"/>
          </w:tcPr>
          <w:p w14:paraId="4C733982">
            <w:pPr>
              <w:spacing w:line="360" w:lineRule="auto"/>
              <w:jc w:val="both"/>
              <w:rPr>
                <w:rFonts w:hint="eastAsia" w:ascii="Times New Roman" w:hAnsi="Times New Roman" w:eastAsia="宋体" w:cs="Times New Roman"/>
                <w:color w:val="auto"/>
                <w:kern w:val="0"/>
                <w:sz w:val="22"/>
                <w:szCs w:val="22"/>
                <w:highlight w:val="none"/>
              </w:rPr>
            </w:pPr>
          </w:p>
        </w:tc>
        <w:tc>
          <w:tcPr>
            <w:tcW w:w="2271" w:type="dxa"/>
            <w:gridSpan w:val="2"/>
            <w:tcBorders>
              <w:tl2br w:val="nil"/>
              <w:tr2bl w:val="nil"/>
            </w:tcBorders>
            <w:noWrap w:val="0"/>
            <w:vAlign w:val="center"/>
          </w:tcPr>
          <w:p w14:paraId="37867441">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考评时间段</w:t>
            </w:r>
          </w:p>
        </w:tc>
        <w:tc>
          <w:tcPr>
            <w:tcW w:w="822" w:type="dxa"/>
            <w:tcBorders>
              <w:tl2br w:val="nil"/>
              <w:tr2bl w:val="nil"/>
            </w:tcBorders>
            <w:noWrap w:val="0"/>
            <w:vAlign w:val="center"/>
          </w:tcPr>
          <w:p w14:paraId="3617A63C">
            <w:pPr>
              <w:spacing w:line="360" w:lineRule="auto"/>
              <w:jc w:val="both"/>
              <w:rPr>
                <w:rFonts w:hint="eastAsia" w:ascii="Times New Roman" w:hAnsi="Times New Roman" w:eastAsia="宋体" w:cs="Times New Roman"/>
                <w:color w:val="auto"/>
                <w:kern w:val="0"/>
                <w:sz w:val="22"/>
                <w:szCs w:val="22"/>
                <w:highlight w:val="none"/>
              </w:rPr>
            </w:pPr>
          </w:p>
        </w:tc>
      </w:tr>
      <w:tr w14:paraId="3B63D9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l2br w:val="nil"/>
              <w:tr2bl w:val="nil"/>
            </w:tcBorders>
            <w:noWrap w:val="0"/>
            <w:vAlign w:val="center"/>
          </w:tcPr>
          <w:p w14:paraId="5D465467">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考评人</w:t>
            </w:r>
          </w:p>
        </w:tc>
        <w:tc>
          <w:tcPr>
            <w:tcW w:w="4479" w:type="dxa"/>
            <w:tcBorders>
              <w:tl2br w:val="nil"/>
              <w:tr2bl w:val="nil"/>
            </w:tcBorders>
            <w:noWrap w:val="0"/>
            <w:vAlign w:val="center"/>
          </w:tcPr>
          <w:p w14:paraId="38CCF0A3">
            <w:pPr>
              <w:spacing w:line="360" w:lineRule="auto"/>
              <w:jc w:val="both"/>
              <w:rPr>
                <w:rFonts w:hint="eastAsia" w:ascii="Times New Roman" w:hAnsi="Times New Roman" w:eastAsia="宋体" w:cs="Times New Roman"/>
                <w:color w:val="auto"/>
                <w:kern w:val="0"/>
                <w:sz w:val="22"/>
                <w:szCs w:val="22"/>
                <w:highlight w:val="none"/>
              </w:rPr>
            </w:pPr>
          </w:p>
        </w:tc>
        <w:tc>
          <w:tcPr>
            <w:tcW w:w="2271" w:type="dxa"/>
            <w:gridSpan w:val="2"/>
            <w:tcBorders>
              <w:tl2br w:val="nil"/>
              <w:tr2bl w:val="nil"/>
            </w:tcBorders>
            <w:noWrap w:val="0"/>
            <w:vAlign w:val="center"/>
          </w:tcPr>
          <w:p w14:paraId="3D234CA6">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填表时间</w:t>
            </w:r>
          </w:p>
        </w:tc>
        <w:tc>
          <w:tcPr>
            <w:tcW w:w="822" w:type="dxa"/>
            <w:tcBorders>
              <w:tl2br w:val="nil"/>
              <w:tr2bl w:val="nil"/>
            </w:tcBorders>
            <w:noWrap w:val="0"/>
            <w:vAlign w:val="center"/>
          </w:tcPr>
          <w:p w14:paraId="05BC9EEA">
            <w:pPr>
              <w:spacing w:line="360" w:lineRule="auto"/>
              <w:jc w:val="both"/>
              <w:rPr>
                <w:rFonts w:hint="eastAsia" w:ascii="Times New Roman" w:hAnsi="Times New Roman" w:eastAsia="宋体" w:cs="Times New Roman"/>
                <w:color w:val="auto"/>
                <w:kern w:val="0"/>
                <w:sz w:val="22"/>
                <w:szCs w:val="22"/>
                <w:highlight w:val="none"/>
              </w:rPr>
            </w:pPr>
          </w:p>
        </w:tc>
      </w:tr>
      <w:tr w14:paraId="223964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215" w:type="dxa"/>
            <w:gridSpan w:val="2"/>
            <w:tcBorders>
              <w:tl2br w:val="nil"/>
              <w:tr2bl w:val="nil"/>
            </w:tcBorders>
            <w:noWrap w:val="0"/>
            <w:vAlign w:val="center"/>
          </w:tcPr>
          <w:p w14:paraId="45EF3843">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考核项目和考核内容</w:t>
            </w:r>
          </w:p>
        </w:tc>
        <w:tc>
          <w:tcPr>
            <w:tcW w:w="1185" w:type="dxa"/>
            <w:tcBorders>
              <w:tl2br w:val="nil"/>
              <w:tr2bl w:val="nil"/>
            </w:tcBorders>
            <w:noWrap w:val="0"/>
            <w:vAlign w:val="center"/>
          </w:tcPr>
          <w:p w14:paraId="140AE31B">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配分</w:t>
            </w:r>
          </w:p>
        </w:tc>
        <w:tc>
          <w:tcPr>
            <w:tcW w:w="1086" w:type="dxa"/>
            <w:tcBorders>
              <w:tl2br w:val="nil"/>
              <w:tr2bl w:val="nil"/>
            </w:tcBorders>
            <w:noWrap w:val="0"/>
            <w:vAlign w:val="center"/>
          </w:tcPr>
          <w:p w14:paraId="6C3FF45E">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考评得分</w:t>
            </w:r>
          </w:p>
        </w:tc>
        <w:tc>
          <w:tcPr>
            <w:tcW w:w="822" w:type="dxa"/>
            <w:tcBorders>
              <w:tl2br w:val="nil"/>
              <w:tr2bl w:val="nil"/>
            </w:tcBorders>
            <w:noWrap/>
            <w:vAlign w:val="center"/>
          </w:tcPr>
          <w:p w14:paraId="09DB11CB">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备注</w:t>
            </w:r>
          </w:p>
        </w:tc>
      </w:tr>
      <w:tr w14:paraId="63698D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l2br w:val="nil"/>
              <w:tr2bl w:val="nil"/>
            </w:tcBorders>
            <w:noWrap w:val="0"/>
            <w:vAlign w:val="center"/>
          </w:tcPr>
          <w:p w14:paraId="5599866A">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总体评价</w:t>
            </w:r>
          </w:p>
        </w:tc>
        <w:tc>
          <w:tcPr>
            <w:tcW w:w="4479" w:type="dxa"/>
            <w:tcBorders>
              <w:tl2br w:val="nil"/>
              <w:tr2bl w:val="nil"/>
            </w:tcBorders>
            <w:noWrap w:val="0"/>
            <w:vAlign w:val="center"/>
          </w:tcPr>
          <w:p w14:paraId="76C5E6F9">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外送检验总体满意度</w:t>
            </w:r>
          </w:p>
        </w:tc>
        <w:tc>
          <w:tcPr>
            <w:tcW w:w="1185" w:type="dxa"/>
            <w:tcBorders>
              <w:tl2br w:val="nil"/>
              <w:tr2bl w:val="nil"/>
            </w:tcBorders>
            <w:noWrap w:val="0"/>
            <w:vAlign w:val="center"/>
          </w:tcPr>
          <w:p w14:paraId="133DEF98">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09E7C019">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5B0A5CCC">
            <w:pPr>
              <w:spacing w:line="360" w:lineRule="auto"/>
              <w:jc w:val="both"/>
              <w:rPr>
                <w:rFonts w:hint="eastAsia" w:ascii="Times New Roman" w:hAnsi="Times New Roman" w:eastAsia="宋体" w:cs="Times New Roman"/>
                <w:color w:val="auto"/>
                <w:kern w:val="0"/>
                <w:sz w:val="22"/>
                <w:szCs w:val="22"/>
                <w:highlight w:val="none"/>
              </w:rPr>
            </w:pPr>
          </w:p>
        </w:tc>
      </w:tr>
      <w:tr w14:paraId="220AEB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tcBorders>
              <w:tl2br w:val="nil"/>
              <w:tr2bl w:val="nil"/>
            </w:tcBorders>
            <w:noWrap w:val="0"/>
            <w:vAlign w:val="center"/>
          </w:tcPr>
          <w:p w14:paraId="4E51E346">
            <w:pPr>
              <w:spacing w:line="360" w:lineRule="auto"/>
              <w:jc w:val="both"/>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rPr>
              <w:t>检验项目</w:t>
            </w:r>
            <w:r>
              <w:rPr>
                <w:rFonts w:hint="eastAsia" w:ascii="Times New Roman" w:hAnsi="Times New Roman" w:eastAsia="宋体" w:cs="Times New Roman"/>
                <w:color w:val="auto"/>
                <w:kern w:val="0"/>
                <w:sz w:val="22"/>
                <w:szCs w:val="22"/>
                <w:highlight w:val="none"/>
                <w:lang w:eastAsia="zh-CN"/>
              </w:rPr>
              <w:t>管理</w:t>
            </w:r>
          </w:p>
        </w:tc>
        <w:tc>
          <w:tcPr>
            <w:tcW w:w="4479" w:type="dxa"/>
            <w:tcBorders>
              <w:tl2br w:val="nil"/>
              <w:tr2bl w:val="nil"/>
            </w:tcBorders>
            <w:noWrap w:val="0"/>
            <w:vAlign w:val="center"/>
          </w:tcPr>
          <w:p w14:paraId="12659D1C">
            <w:pPr>
              <w:spacing w:line="360" w:lineRule="auto"/>
              <w:jc w:val="both"/>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lang w:eastAsia="zh-CN"/>
              </w:rPr>
              <w:t>流式细胞方法的验证文件（</w:t>
            </w:r>
            <w:r>
              <w:rPr>
                <w:rFonts w:hint="eastAsia" w:ascii="Times New Roman" w:hAnsi="Times New Roman" w:eastAsia="宋体" w:cs="Times New Roman"/>
                <w:color w:val="auto"/>
                <w:kern w:val="0"/>
                <w:sz w:val="22"/>
                <w:szCs w:val="22"/>
                <w:highlight w:val="none"/>
                <w:lang w:val="en-US" w:eastAsia="zh-CN"/>
              </w:rPr>
              <w:t>线性范围、精密度等</w:t>
            </w:r>
            <w:r>
              <w:rPr>
                <w:rFonts w:hint="eastAsia" w:ascii="Times New Roman" w:hAnsi="Times New Roman" w:eastAsia="宋体" w:cs="Times New Roman"/>
                <w:color w:val="auto"/>
                <w:kern w:val="0"/>
                <w:sz w:val="22"/>
                <w:szCs w:val="22"/>
                <w:highlight w:val="none"/>
                <w:lang w:eastAsia="zh-CN"/>
              </w:rPr>
              <w:t>）</w:t>
            </w:r>
          </w:p>
        </w:tc>
        <w:tc>
          <w:tcPr>
            <w:tcW w:w="1185" w:type="dxa"/>
            <w:tcBorders>
              <w:tl2br w:val="nil"/>
              <w:tr2bl w:val="nil"/>
            </w:tcBorders>
            <w:noWrap w:val="0"/>
            <w:vAlign w:val="center"/>
          </w:tcPr>
          <w:p w14:paraId="2573A9DD">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6D4584BC">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37204002">
            <w:pPr>
              <w:spacing w:line="360" w:lineRule="auto"/>
              <w:jc w:val="both"/>
              <w:rPr>
                <w:rFonts w:hint="eastAsia" w:ascii="Times New Roman" w:hAnsi="Times New Roman" w:eastAsia="宋体" w:cs="Times New Roman"/>
                <w:color w:val="auto"/>
                <w:kern w:val="0"/>
                <w:sz w:val="22"/>
                <w:szCs w:val="22"/>
                <w:highlight w:val="none"/>
              </w:rPr>
            </w:pPr>
          </w:p>
        </w:tc>
      </w:tr>
      <w:tr w14:paraId="4D505B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736" w:type="dxa"/>
            <w:vMerge w:val="continue"/>
            <w:tcBorders>
              <w:tl2br w:val="nil"/>
              <w:tr2bl w:val="nil"/>
            </w:tcBorders>
            <w:noWrap w:val="0"/>
            <w:vAlign w:val="center"/>
          </w:tcPr>
          <w:p w14:paraId="68D3D134">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11A8AE08">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检验项目套餐</w:t>
            </w:r>
            <w:r>
              <w:rPr>
                <w:rFonts w:hint="eastAsia" w:ascii="Times New Roman" w:hAnsi="Times New Roman" w:eastAsia="宋体" w:cs="Times New Roman"/>
                <w:color w:val="auto"/>
                <w:kern w:val="0"/>
                <w:sz w:val="22"/>
                <w:szCs w:val="22"/>
                <w:highlight w:val="none"/>
                <w:lang w:eastAsia="zh-CN"/>
              </w:rPr>
              <w:t>设计</w:t>
            </w:r>
            <w:r>
              <w:rPr>
                <w:rFonts w:hint="eastAsia" w:ascii="Times New Roman" w:hAnsi="Times New Roman" w:eastAsia="宋体" w:cs="Times New Roman"/>
                <w:color w:val="auto"/>
                <w:kern w:val="0"/>
                <w:sz w:val="22"/>
                <w:szCs w:val="22"/>
                <w:highlight w:val="none"/>
              </w:rPr>
              <w:t>对疾病诊断的适用性</w:t>
            </w:r>
          </w:p>
        </w:tc>
        <w:tc>
          <w:tcPr>
            <w:tcW w:w="1185" w:type="dxa"/>
            <w:tcBorders>
              <w:tl2br w:val="nil"/>
              <w:tr2bl w:val="nil"/>
            </w:tcBorders>
            <w:noWrap w:val="0"/>
            <w:vAlign w:val="center"/>
          </w:tcPr>
          <w:p w14:paraId="048D98CC">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2C36B70E">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292A36F9">
            <w:pPr>
              <w:spacing w:line="360" w:lineRule="auto"/>
              <w:jc w:val="both"/>
              <w:rPr>
                <w:rFonts w:hint="eastAsia" w:ascii="Times New Roman" w:hAnsi="Times New Roman" w:eastAsia="宋体" w:cs="Times New Roman"/>
                <w:color w:val="auto"/>
                <w:kern w:val="0"/>
                <w:sz w:val="22"/>
                <w:szCs w:val="22"/>
                <w:highlight w:val="none"/>
              </w:rPr>
            </w:pPr>
          </w:p>
        </w:tc>
      </w:tr>
      <w:tr w14:paraId="02CBF7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448DD205">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49C5C500">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检验项目试剂、仪器变更信息获取的及时性</w:t>
            </w:r>
          </w:p>
        </w:tc>
        <w:tc>
          <w:tcPr>
            <w:tcW w:w="1185" w:type="dxa"/>
            <w:tcBorders>
              <w:tl2br w:val="nil"/>
              <w:tr2bl w:val="nil"/>
            </w:tcBorders>
            <w:noWrap w:val="0"/>
            <w:vAlign w:val="center"/>
          </w:tcPr>
          <w:p w14:paraId="54697E62">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258A9A64">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6A6599FE">
            <w:pPr>
              <w:spacing w:line="360" w:lineRule="auto"/>
              <w:jc w:val="both"/>
              <w:rPr>
                <w:rFonts w:hint="eastAsia" w:ascii="Times New Roman" w:hAnsi="Times New Roman" w:eastAsia="宋体" w:cs="Times New Roman"/>
                <w:color w:val="auto"/>
                <w:kern w:val="0"/>
                <w:sz w:val="22"/>
                <w:szCs w:val="22"/>
                <w:highlight w:val="none"/>
              </w:rPr>
            </w:pPr>
          </w:p>
        </w:tc>
      </w:tr>
      <w:tr w14:paraId="79496A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tcBorders>
              <w:tl2br w:val="nil"/>
              <w:tr2bl w:val="nil"/>
            </w:tcBorders>
            <w:noWrap w:val="0"/>
            <w:vAlign w:val="center"/>
          </w:tcPr>
          <w:p w14:paraId="5B6F200B">
            <w:pPr>
              <w:spacing w:line="360" w:lineRule="auto"/>
              <w:jc w:val="both"/>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rPr>
              <w:t>检验结果</w:t>
            </w:r>
            <w:r>
              <w:rPr>
                <w:rFonts w:hint="eastAsia" w:ascii="Times New Roman" w:hAnsi="Times New Roman" w:eastAsia="宋体" w:cs="Times New Roman"/>
                <w:color w:val="auto"/>
                <w:kern w:val="0"/>
                <w:sz w:val="22"/>
                <w:szCs w:val="22"/>
                <w:highlight w:val="none"/>
                <w:lang w:eastAsia="zh-CN"/>
              </w:rPr>
              <w:t>质量</w:t>
            </w:r>
          </w:p>
        </w:tc>
        <w:tc>
          <w:tcPr>
            <w:tcW w:w="4479" w:type="dxa"/>
            <w:tcBorders>
              <w:tl2br w:val="nil"/>
              <w:tr2bl w:val="nil"/>
            </w:tcBorders>
            <w:noWrap w:val="0"/>
            <w:vAlign w:val="center"/>
          </w:tcPr>
          <w:p w14:paraId="4E9FDED7">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出具检验结果的及时性</w:t>
            </w:r>
          </w:p>
        </w:tc>
        <w:tc>
          <w:tcPr>
            <w:tcW w:w="1185" w:type="dxa"/>
            <w:tcBorders>
              <w:tl2br w:val="nil"/>
              <w:tr2bl w:val="nil"/>
            </w:tcBorders>
            <w:noWrap w:val="0"/>
            <w:vAlign w:val="center"/>
          </w:tcPr>
          <w:p w14:paraId="1E54F662">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10</w:t>
            </w:r>
          </w:p>
        </w:tc>
        <w:tc>
          <w:tcPr>
            <w:tcW w:w="1086" w:type="dxa"/>
            <w:tcBorders>
              <w:tl2br w:val="nil"/>
              <w:tr2bl w:val="nil"/>
            </w:tcBorders>
            <w:noWrap w:val="0"/>
            <w:vAlign w:val="center"/>
          </w:tcPr>
          <w:p w14:paraId="112E2743">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654D5134">
            <w:pPr>
              <w:spacing w:line="360" w:lineRule="auto"/>
              <w:jc w:val="both"/>
              <w:rPr>
                <w:rFonts w:hint="eastAsia" w:ascii="Times New Roman" w:hAnsi="Times New Roman" w:eastAsia="宋体" w:cs="Times New Roman"/>
                <w:color w:val="auto"/>
                <w:kern w:val="0"/>
                <w:sz w:val="22"/>
                <w:szCs w:val="22"/>
                <w:highlight w:val="none"/>
              </w:rPr>
            </w:pPr>
          </w:p>
        </w:tc>
      </w:tr>
      <w:tr w14:paraId="5D5776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6" w:type="dxa"/>
            <w:vMerge w:val="continue"/>
            <w:tcBorders>
              <w:tl2br w:val="nil"/>
              <w:tr2bl w:val="nil"/>
            </w:tcBorders>
            <w:noWrap w:val="0"/>
            <w:vAlign w:val="center"/>
          </w:tcPr>
          <w:p w14:paraId="7E7F0E62">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74BECB7A">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结果的准确性、可靠性（</w:t>
            </w:r>
            <w:r>
              <w:rPr>
                <w:rFonts w:ascii="Times New Roman" w:hAnsi="Times New Roman" w:eastAsia="宋体" w:cs="Times New Roman"/>
                <w:color w:val="auto"/>
                <w:kern w:val="0"/>
                <w:sz w:val="22"/>
                <w:szCs w:val="22"/>
                <w:highlight w:val="none"/>
              </w:rPr>
              <w:t>含室间质评结果评价）</w:t>
            </w:r>
          </w:p>
        </w:tc>
        <w:tc>
          <w:tcPr>
            <w:tcW w:w="1185" w:type="dxa"/>
            <w:tcBorders>
              <w:tl2br w:val="nil"/>
              <w:tr2bl w:val="nil"/>
            </w:tcBorders>
            <w:noWrap w:val="0"/>
            <w:vAlign w:val="center"/>
          </w:tcPr>
          <w:p w14:paraId="2D0E9CFB">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10</w:t>
            </w:r>
          </w:p>
        </w:tc>
        <w:tc>
          <w:tcPr>
            <w:tcW w:w="1086" w:type="dxa"/>
            <w:tcBorders>
              <w:tl2br w:val="nil"/>
              <w:tr2bl w:val="nil"/>
            </w:tcBorders>
            <w:noWrap w:val="0"/>
            <w:vAlign w:val="center"/>
          </w:tcPr>
          <w:p w14:paraId="2F39EFB5">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2B7B8E4B">
            <w:pPr>
              <w:spacing w:line="360" w:lineRule="auto"/>
              <w:jc w:val="both"/>
              <w:rPr>
                <w:rFonts w:hint="eastAsia" w:ascii="Times New Roman" w:hAnsi="Times New Roman" w:eastAsia="宋体" w:cs="Times New Roman"/>
                <w:color w:val="auto"/>
                <w:kern w:val="0"/>
                <w:sz w:val="22"/>
                <w:szCs w:val="22"/>
                <w:highlight w:val="none"/>
              </w:rPr>
            </w:pPr>
          </w:p>
        </w:tc>
      </w:tr>
      <w:tr w14:paraId="4A75AA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5321E920">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7FC824B6">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结果获取途径的便捷性</w:t>
            </w:r>
          </w:p>
        </w:tc>
        <w:tc>
          <w:tcPr>
            <w:tcW w:w="1185" w:type="dxa"/>
            <w:tcBorders>
              <w:tl2br w:val="nil"/>
              <w:tr2bl w:val="nil"/>
            </w:tcBorders>
            <w:noWrap w:val="0"/>
            <w:vAlign w:val="center"/>
          </w:tcPr>
          <w:p w14:paraId="08505557">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0C255373">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63EF2944">
            <w:pPr>
              <w:spacing w:line="360" w:lineRule="auto"/>
              <w:jc w:val="both"/>
              <w:rPr>
                <w:rFonts w:hint="eastAsia" w:ascii="Times New Roman" w:hAnsi="Times New Roman" w:eastAsia="宋体" w:cs="Times New Roman"/>
                <w:color w:val="auto"/>
                <w:kern w:val="0"/>
                <w:sz w:val="22"/>
                <w:szCs w:val="22"/>
                <w:highlight w:val="none"/>
              </w:rPr>
            </w:pPr>
          </w:p>
        </w:tc>
      </w:tr>
      <w:tr w14:paraId="004DBB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0E4F334F">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5EE2AD42">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标本异常、结果迟发、结果退单等情况告知的及时性</w:t>
            </w:r>
          </w:p>
        </w:tc>
        <w:tc>
          <w:tcPr>
            <w:tcW w:w="1185" w:type="dxa"/>
            <w:tcBorders>
              <w:tl2br w:val="nil"/>
              <w:tr2bl w:val="nil"/>
            </w:tcBorders>
            <w:noWrap w:val="0"/>
            <w:vAlign w:val="center"/>
          </w:tcPr>
          <w:p w14:paraId="34F19751">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4D3B0C35">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18345C1D">
            <w:pPr>
              <w:spacing w:line="360" w:lineRule="auto"/>
              <w:jc w:val="both"/>
              <w:rPr>
                <w:rFonts w:hint="eastAsia" w:ascii="Times New Roman" w:hAnsi="Times New Roman" w:eastAsia="宋体" w:cs="Times New Roman"/>
                <w:color w:val="auto"/>
                <w:kern w:val="0"/>
                <w:sz w:val="22"/>
                <w:szCs w:val="22"/>
                <w:highlight w:val="none"/>
              </w:rPr>
            </w:pPr>
          </w:p>
        </w:tc>
      </w:tr>
      <w:tr w14:paraId="761CBA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30E1EFB7">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51DB6E1A">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危急值告知的及时性</w:t>
            </w:r>
          </w:p>
        </w:tc>
        <w:tc>
          <w:tcPr>
            <w:tcW w:w="1185" w:type="dxa"/>
            <w:tcBorders>
              <w:tl2br w:val="nil"/>
              <w:tr2bl w:val="nil"/>
            </w:tcBorders>
            <w:noWrap w:val="0"/>
            <w:vAlign w:val="center"/>
          </w:tcPr>
          <w:p w14:paraId="5B069B7D">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4A1AAA05">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04D8EC76">
            <w:pPr>
              <w:spacing w:line="360" w:lineRule="auto"/>
              <w:jc w:val="both"/>
              <w:rPr>
                <w:rFonts w:hint="eastAsia" w:ascii="Times New Roman" w:hAnsi="Times New Roman" w:eastAsia="宋体" w:cs="Times New Roman"/>
                <w:color w:val="auto"/>
                <w:kern w:val="0"/>
                <w:sz w:val="22"/>
                <w:szCs w:val="22"/>
                <w:highlight w:val="none"/>
              </w:rPr>
            </w:pPr>
          </w:p>
        </w:tc>
      </w:tr>
      <w:tr w14:paraId="1B8622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2091B490">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14754017">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室内质控设置及失控处置记录（每月汇总）</w:t>
            </w:r>
          </w:p>
        </w:tc>
        <w:tc>
          <w:tcPr>
            <w:tcW w:w="1185" w:type="dxa"/>
            <w:tcBorders>
              <w:tl2br w:val="nil"/>
              <w:tr2bl w:val="nil"/>
            </w:tcBorders>
            <w:noWrap w:val="0"/>
            <w:vAlign w:val="center"/>
          </w:tcPr>
          <w:p w14:paraId="71B25FDB">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65DB2966">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224F6686">
            <w:pPr>
              <w:spacing w:line="360" w:lineRule="auto"/>
              <w:jc w:val="both"/>
              <w:rPr>
                <w:rFonts w:hint="eastAsia" w:ascii="Times New Roman" w:hAnsi="Times New Roman" w:eastAsia="宋体" w:cs="Times New Roman"/>
                <w:color w:val="auto"/>
                <w:kern w:val="0"/>
                <w:sz w:val="22"/>
                <w:szCs w:val="22"/>
                <w:highlight w:val="none"/>
              </w:rPr>
            </w:pPr>
          </w:p>
        </w:tc>
      </w:tr>
      <w:tr w14:paraId="563F73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tcBorders>
              <w:tl2br w:val="nil"/>
              <w:tr2bl w:val="nil"/>
            </w:tcBorders>
            <w:noWrap w:val="0"/>
            <w:vAlign w:val="center"/>
          </w:tcPr>
          <w:p w14:paraId="60A98F1A">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营销及客</w:t>
            </w:r>
            <w:r>
              <w:rPr>
                <w:rFonts w:hint="eastAsia" w:ascii="Times New Roman" w:hAnsi="Times New Roman" w:eastAsia="宋体" w:cs="Times New Roman"/>
                <w:color w:val="auto"/>
                <w:kern w:val="0"/>
                <w:sz w:val="22"/>
                <w:szCs w:val="22"/>
                <w:highlight w:val="none"/>
                <w:lang w:eastAsia="zh-CN"/>
              </w:rPr>
              <w:t>服</w:t>
            </w:r>
            <w:r>
              <w:rPr>
                <w:rFonts w:hint="eastAsia" w:ascii="Times New Roman" w:hAnsi="Times New Roman" w:eastAsia="宋体" w:cs="Times New Roman"/>
                <w:color w:val="auto"/>
                <w:kern w:val="0"/>
                <w:sz w:val="22"/>
                <w:szCs w:val="22"/>
                <w:highlight w:val="none"/>
              </w:rPr>
              <w:t>服务</w:t>
            </w:r>
          </w:p>
        </w:tc>
        <w:tc>
          <w:tcPr>
            <w:tcW w:w="4479" w:type="dxa"/>
            <w:tcBorders>
              <w:tl2br w:val="nil"/>
              <w:tr2bl w:val="nil"/>
            </w:tcBorders>
            <w:noWrap w:val="0"/>
            <w:vAlign w:val="center"/>
          </w:tcPr>
          <w:p w14:paraId="3E4A7119">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检验前的开单指引</w:t>
            </w:r>
          </w:p>
        </w:tc>
        <w:tc>
          <w:tcPr>
            <w:tcW w:w="1185" w:type="dxa"/>
            <w:tcBorders>
              <w:tl2br w:val="nil"/>
              <w:tr2bl w:val="nil"/>
            </w:tcBorders>
            <w:noWrap w:val="0"/>
            <w:vAlign w:val="center"/>
          </w:tcPr>
          <w:p w14:paraId="324AA2A5">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7B763DDC">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7F1280BD">
            <w:pPr>
              <w:spacing w:line="360" w:lineRule="auto"/>
              <w:jc w:val="both"/>
              <w:rPr>
                <w:rFonts w:hint="eastAsia" w:ascii="Times New Roman" w:hAnsi="Times New Roman" w:eastAsia="宋体" w:cs="Times New Roman"/>
                <w:color w:val="auto"/>
                <w:kern w:val="0"/>
                <w:sz w:val="22"/>
                <w:szCs w:val="22"/>
                <w:highlight w:val="none"/>
              </w:rPr>
            </w:pPr>
          </w:p>
        </w:tc>
      </w:tr>
      <w:tr w14:paraId="560EFB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7557B077">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583B7449">
            <w:pPr>
              <w:spacing w:line="360" w:lineRule="auto"/>
              <w:jc w:val="both"/>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lang w:eastAsia="zh-CN"/>
              </w:rPr>
              <w:t>对接人员响应速度</w:t>
            </w:r>
          </w:p>
        </w:tc>
        <w:tc>
          <w:tcPr>
            <w:tcW w:w="1185" w:type="dxa"/>
            <w:tcBorders>
              <w:tl2br w:val="nil"/>
              <w:tr2bl w:val="nil"/>
            </w:tcBorders>
            <w:noWrap w:val="0"/>
            <w:vAlign w:val="center"/>
          </w:tcPr>
          <w:p w14:paraId="675BE931">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35CF2474">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26D9F3E7">
            <w:pPr>
              <w:spacing w:line="360" w:lineRule="auto"/>
              <w:jc w:val="both"/>
              <w:rPr>
                <w:rFonts w:hint="eastAsia" w:ascii="Times New Roman" w:hAnsi="Times New Roman" w:eastAsia="宋体" w:cs="Times New Roman"/>
                <w:color w:val="auto"/>
                <w:kern w:val="0"/>
                <w:sz w:val="22"/>
                <w:szCs w:val="22"/>
                <w:highlight w:val="none"/>
              </w:rPr>
            </w:pPr>
          </w:p>
        </w:tc>
      </w:tr>
      <w:tr w14:paraId="5B0CFB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20098323">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79F30EFD">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医学专业水平</w:t>
            </w:r>
          </w:p>
        </w:tc>
        <w:tc>
          <w:tcPr>
            <w:tcW w:w="1185" w:type="dxa"/>
            <w:tcBorders>
              <w:tl2br w:val="nil"/>
              <w:tr2bl w:val="nil"/>
            </w:tcBorders>
            <w:noWrap w:val="0"/>
            <w:vAlign w:val="center"/>
          </w:tcPr>
          <w:p w14:paraId="20CAE042">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06F8469F">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6C1E9D48">
            <w:pPr>
              <w:spacing w:line="360" w:lineRule="auto"/>
              <w:jc w:val="both"/>
              <w:rPr>
                <w:rFonts w:hint="eastAsia" w:ascii="Times New Roman" w:hAnsi="Times New Roman" w:eastAsia="宋体" w:cs="Times New Roman"/>
                <w:color w:val="auto"/>
                <w:kern w:val="0"/>
                <w:sz w:val="22"/>
                <w:szCs w:val="22"/>
                <w:highlight w:val="none"/>
              </w:rPr>
            </w:pPr>
          </w:p>
        </w:tc>
      </w:tr>
      <w:tr w14:paraId="5E4F68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736" w:type="dxa"/>
            <w:vMerge w:val="restart"/>
            <w:tcBorders>
              <w:tl2br w:val="nil"/>
              <w:tr2bl w:val="nil"/>
            </w:tcBorders>
            <w:noWrap w:val="0"/>
            <w:vAlign w:val="center"/>
          </w:tcPr>
          <w:p w14:paraId="6A247A54">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物流服务</w:t>
            </w:r>
          </w:p>
        </w:tc>
        <w:tc>
          <w:tcPr>
            <w:tcW w:w="4479" w:type="dxa"/>
            <w:tcBorders>
              <w:tl2br w:val="nil"/>
              <w:tr2bl w:val="nil"/>
            </w:tcBorders>
            <w:noWrap w:val="0"/>
            <w:vAlign w:val="center"/>
          </w:tcPr>
          <w:p w14:paraId="388AC0B4">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提供耗材、标本收取的及时性</w:t>
            </w:r>
          </w:p>
        </w:tc>
        <w:tc>
          <w:tcPr>
            <w:tcW w:w="1185" w:type="dxa"/>
            <w:tcBorders>
              <w:tl2br w:val="nil"/>
              <w:tr2bl w:val="nil"/>
            </w:tcBorders>
            <w:noWrap w:val="0"/>
            <w:vAlign w:val="center"/>
          </w:tcPr>
          <w:p w14:paraId="1A9E01E3">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4D14D0F8">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1D8A7AF5">
            <w:pPr>
              <w:spacing w:line="360" w:lineRule="auto"/>
              <w:jc w:val="both"/>
              <w:rPr>
                <w:rFonts w:hint="eastAsia" w:ascii="Times New Roman" w:hAnsi="Times New Roman" w:eastAsia="宋体" w:cs="Times New Roman"/>
                <w:color w:val="auto"/>
                <w:kern w:val="0"/>
                <w:sz w:val="22"/>
                <w:szCs w:val="22"/>
                <w:highlight w:val="none"/>
              </w:rPr>
            </w:pPr>
          </w:p>
        </w:tc>
      </w:tr>
      <w:tr w14:paraId="7B466B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786BBB67">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70734DD5">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书面报告送达的及时性</w:t>
            </w:r>
          </w:p>
        </w:tc>
        <w:tc>
          <w:tcPr>
            <w:tcW w:w="1185" w:type="dxa"/>
            <w:tcBorders>
              <w:tl2br w:val="nil"/>
              <w:tr2bl w:val="nil"/>
            </w:tcBorders>
            <w:noWrap w:val="0"/>
            <w:vAlign w:val="center"/>
          </w:tcPr>
          <w:p w14:paraId="70E96D2D">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651C8F05">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268AC5B7">
            <w:pPr>
              <w:spacing w:line="360" w:lineRule="auto"/>
              <w:jc w:val="both"/>
              <w:rPr>
                <w:rFonts w:hint="eastAsia" w:ascii="Times New Roman" w:hAnsi="Times New Roman" w:eastAsia="宋体" w:cs="Times New Roman"/>
                <w:color w:val="auto"/>
                <w:kern w:val="0"/>
                <w:sz w:val="22"/>
                <w:szCs w:val="22"/>
                <w:highlight w:val="none"/>
              </w:rPr>
            </w:pPr>
          </w:p>
        </w:tc>
      </w:tr>
      <w:tr w14:paraId="35FB3F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736" w:type="dxa"/>
            <w:vMerge w:val="continue"/>
            <w:tcBorders>
              <w:tl2br w:val="nil"/>
              <w:tr2bl w:val="nil"/>
            </w:tcBorders>
            <w:noWrap w:val="0"/>
            <w:vAlign w:val="center"/>
          </w:tcPr>
          <w:p w14:paraId="6B455235">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0E311711">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物流人员及辅助设备的专业性及合理性</w:t>
            </w:r>
          </w:p>
        </w:tc>
        <w:tc>
          <w:tcPr>
            <w:tcW w:w="1185" w:type="dxa"/>
            <w:tcBorders>
              <w:tl2br w:val="nil"/>
              <w:tr2bl w:val="nil"/>
            </w:tcBorders>
            <w:noWrap w:val="0"/>
            <w:vAlign w:val="center"/>
          </w:tcPr>
          <w:p w14:paraId="174FBADB">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20161BA2">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15DEC3FD">
            <w:pPr>
              <w:spacing w:line="360" w:lineRule="auto"/>
              <w:jc w:val="both"/>
              <w:rPr>
                <w:rFonts w:hint="eastAsia" w:ascii="Times New Roman" w:hAnsi="Times New Roman" w:eastAsia="宋体" w:cs="Times New Roman"/>
                <w:color w:val="auto"/>
                <w:kern w:val="0"/>
                <w:sz w:val="22"/>
                <w:szCs w:val="22"/>
                <w:highlight w:val="none"/>
              </w:rPr>
            </w:pPr>
          </w:p>
        </w:tc>
      </w:tr>
      <w:tr w14:paraId="433D98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tcBorders>
              <w:tl2br w:val="nil"/>
              <w:tr2bl w:val="nil"/>
            </w:tcBorders>
            <w:noWrap w:val="0"/>
            <w:vAlign w:val="center"/>
          </w:tcPr>
          <w:p w14:paraId="2626B17D">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投诉与反馈</w:t>
            </w:r>
          </w:p>
        </w:tc>
        <w:tc>
          <w:tcPr>
            <w:tcW w:w="4479" w:type="dxa"/>
            <w:tcBorders>
              <w:tl2br w:val="nil"/>
              <w:tr2bl w:val="nil"/>
            </w:tcBorders>
            <w:noWrap w:val="0"/>
            <w:vAlign w:val="center"/>
          </w:tcPr>
          <w:p w14:paraId="0CB57302">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投诉/抱怨处理的及时性</w:t>
            </w:r>
          </w:p>
        </w:tc>
        <w:tc>
          <w:tcPr>
            <w:tcW w:w="1185" w:type="dxa"/>
            <w:tcBorders>
              <w:tl2br w:val="nil"/>
              <w:tr2bl w:val="nil"/>
            </w:tcBorders>
            <w:noWrap w:val="0"/>
            <w:vAlign w:val="center"/>
          </w:tcPr>
          <w:p w14:paraId="41E5D1C5">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6B905A9B">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5D628AE0">
            <w:pPr>
              <w:spacing w:line="360" w:lineRule="auto"/>
              <w:jc w:val="both"/>
              <w:rPr>
                <w:rFonts w:hint="eastAsia" w:ascii="Times New Roman" w:hAnsi="Times New Roman" w:eastAsia="宋体" w:cs="Times New Roman"/>
                <w:color w:val="auto"/>
                <w:kern w:val="0"/>
                <w:sz w:val="22"/>
                <w:szCs w:val="22"/>
                <w:highlight w:val="none"/>
              </w:rPr>
            </w:pPr>
          </w:p>
        </w:tc>
      </w:tr>
      <w:tr w14:paraId="5BF2E1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Borders>
              <w:tl2br w:val="nil"/>
              <w:tr2bl w:val="nil"/>
            </w:tcBorders>
            <w:noWrap w:val="0"/>
            <w:vAlign w:val="center"/>
          </w:tcPr>
          <w:p w14:paraId="7D91F7C0">
            <w:pPr>
              <w:spacing w:line="360" w:lineRule="auto"/>
              <w:jc w:val="both"/>
              <w:rPr>
                <w:rFonts w:hint="eastAsia" w:ascii="Times New Roman" w:hAnsi="Times New Roman" w:eastAsia="宋体" w:cs="Times New Roman"/>
                <w:color w:val="auto"/>
                <w:kern w:val="0"/>
                <w:sz w:val="22"/>
                <w:szCs w:val="22"/>
                <w:highlight w:val="none"/>
              </w:rPr>
            </w:pPr>
          </w:p>
        </w:tc>
        <w:tc>
          <w:tcPr>
            <w:tcW w:w="4479" w:type="dxa"/>
            <w:tcBorders>
              <w:tl2br w:val="nil"/>
              <w:tr2bl w:val="nil"/>
            </w:tcBorders>
            <w:noWrap w:val="0"/>
            <w:vAlign w:val="center"/>
          </w:tcPr>
          <w:p w14:paraId="1C7B31B7">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投诉/抱怨解决方案的满意程度</w:t>
            </w:r>
          </w:p>
        </w:tc>
        <w:tc>
          <w:tcPr>
            <w:tcW w:w="1185" w:type="dxa"/>
            <w:tcBorders>
              <w:tl2br w:val="nil"/>
              <w:tr2bl w:val="nil"/>
            </w:tcBorders>
            <w:noWrap w:val="0"/>
            <w:vAlign w:val="center"/>
          </w:tcPr>
          <w:p w14:paraId="6D81A9E6">
            <w:pPr>
              <w:spacing w:line="360" w:lineRule="auto"/>
              <w:jc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5</w:t>
            </w:r>
          </w:p>
        </w:tc>
        <w:tc>
          <w:tcPr>
            <w:tcW w:w="1086" w:type="dxa"/>
            <w:tcBorders>
              <w:tl2br w:val="nil"/>
              <w:tr2bl w:val="nil"/>
            </w:tcBorders>
            <w:noWrap w:val="0"/>
            <w:vAlign w:val="center"/>
          </w:tcPr>
          <w:p w14:paraId="5C721D44">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184D0476">
            <w:pPr>
              <w:spacing w:line="360" w:lineRule="auto"/>
              <w:jc w:val="both"/>
              <w:rPr>
                <w:rFonts w:hint="eastAsia" w:ascii="Times New Roman" w:hAnsi="Times New Roman" w:eastAsia="宋体" w:cs="Times New Roman"/>
                <w:color w:val="auto"/>
                <w:kern w:val="0"/>
                <w:sz w:val="22"/>
                <w:szCs w:val="22"/>
                <w:highlight w:val="none"/>
              </w:rPr>
            </w:pPr>
          </w:p>
        </w:tc>
      </w:tr>
      <w:tr w14:paraId="5B6338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l2br w:val="nil"/>
              <w:tr2bl w:val="nil"/>
            </w:tcBorders>
            <w:noWrap w:val="0"/>
            <w:vAlign w:val="center"/>
          </w:tcPr>
          <w:p w14:paraId="69D537C7">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建议与反馈</w:t>
            </w:r>
          </w:p>
        </w:tc>
        <w:tc>
          <w:tcPr>
            <w:tcW w:w="4479" w:type="dxa"/>
            <w:tcBorders>
              <w:tl2br w:val="nil"/>
              <w:tr2bl w:val="nil"/>
            </w:tcBorders>
            <w:noWrap w:val="0"/>
            <w:vAlign w:val="center"/>
          </w:tcPr>
          <w:p w14:paraId="5F54150E">
            <w:pPr>
              <w:spacing w:line="360" w:lineRule="auto"/>
              <w:jc w:val="both"/>
              <w:rPr>
                <w:rFonts w:hint="eastAsia" w:ascii="Times New Roman" w:hAnsi="Times New Roman" w:eastAsia="宋体" w:cs="Times New Roman"/>
                <w:color w:val="auto"/>
                <w:kern w:val="0"/>
                <w:sz w:val="22"/>
                <w:szCs w:val="22"/>
                <w:highlight w:val="none"/>
              </w:rPr>
            </w:pPr>
          </w:p>
        </w:tc>
        <w:tc>
          <w:tcPr>
            <w:tcW w:w="1185" w:type="dxa"/>
            <w:tcBorders>
              <w:tl2br w:val="nil"/>
              <w:tr2bl w:val="nil"/>
            </w:tcBorders>
            <w:noWrap w:val="0"/>
            <w:vAlign w:val="center"/>
          </w:tcPr>
          <w:p w14:paraId="2E1345E3">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总得分</w:t>
            </w:r>
          </w:p>
        </w:tc>
        <w:tc>
          <w:tcPr>
            <w:tcW w:w="1086" w:type="dxa"/>
            <w:tcBorders>
              <w:tl2br w:val="nil"/>
              <w:tr2bl w:val="nil"/>
            </w:tcBorders>
            <w:noWrap w:val="0"/>
            <w:vAlign w:val="center"/>
          </w:tcPr>
          <w:p w14:paraId="4EAC17F3">
            <w:pPr>
              <w:spacing w:line="360" w:lineRule="auto"/>
              <w:jc w:val="both"/>
              <w:rPr>
                <w:rFonts w:hint="eastAsia" w:ascii="Times New Roman" w:hAnsi="Times New Roman" w:eastAsia="宋体" w:cs="Times New Roman"/>
                <w:color w:val="auto"/>
                <w:kern w:val="0"/>
                <w:sz w:val="22"/>
                <w:szCs w:val="22"/>
                <w:highlight w:val="none"/>
              </w:rPr>
            </w:pPr>
          </w:p>
        </w:tc>
        <w:tc>
          <w:tcPr>
            <w:tcW w:w="822" w:type="dxa"/>
            <w:tcBorders>
              <w:tl2br w:val="nil"/>
              <w:tr2bl w:val="nil"/>
            </w:tcBorders>
            <w:noWrap/>
            <w:vAlign w:val="center"/>
          </w:tcPr>
          <w:p w14:paraId="567B362D">
            <w:pPr>
              <w:spacing w:line="360" w:lineRule="auto"/>
              <w:jc w:val="both"/>
              <w:rPr>
                <w:rFonts w:hint="eastAsia" w:ascii="Times New Roman" w:hAnsi="Times New Roman" w:eastAsia="宋体" w:cs="Times New Roman"/>
                <w:color w:val="auto"/>
                <w:kern w:val="0"/>
                <w:sz w:val="22"/>
                <w:szCs w:val="22"/>
                <w:highlight w:val="none"/>
              </w:rPr>
            </w:pPr>
          </w:p>
        </w:tc>
      </w:tr>
      <w:tr w14:paraId="67E23F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5"/>
            <w:tcBorders>
              <w:tl2br w:val="nil"/>
              <w:tr2bl w:val="nil"/>
            </w:tcBorders>
            <w:noWrap/>
            <w:vAlign w:val="center"/>
          </w:tcPr>
          <w:p w14:paraId="09F1B61C">
            <w:pPr>
              <w:spacing w:line="360" w:lineRule="auto"/>
              <w:jc w:val="both"/>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1、每</w:t>
            </w:r>
            <w:r>
              <w:rPr>
                <w:rFonts w:hint="eastAsia" w:ascii="Times New Roman" w:hAnsi="Times New Roman" w:eastAsia="宋体" w:cs="Times New Roman"/>
                <w:color w:val="auto"/>
                <w:kern w:val="0"/>
                <w:sz w:val="22"/>
                <w:szCs w:val="22"/>
                <w:highlight w:val="none"/>
                <w:lang w:eastAsia="zh-CN"/>
              </w:rPr>
              <w:t>年</w:t>
            </w:r>
            <w:r>
              <w:rPr>
                <w:rFonts w:hint="eastAsia" w:ascii="Times New Roman" w:hAnsi="Times New Roman" w:eastAsia="宋体" w:cs="Times New Roman"/>
                <w:color w:val="auto"/>
                <w:kern w:val="0"/>
                <w:sz w:val="22"/>
                <w:szCs w:val="22"/>
                <w:highlight w:val="none"/>
              </w:rPr>
              <w:t>度由检验科等相关部门予以考评打分</w:t>
            </w:r>
          </w:p>
        </w:tc>
      </w:tr>
      <w:tr w14:paraId="27BD0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5"/>
            <w:tcBorders>
              <w:tl2br w:val="nil"/>
              <w:tr2bl w:val="nil"/>
            </w:tcBorders>
            <w:noWrap/>
            <w:vAlign w:val="center"/>
          </w:tcPr>
          <w:p w14:paraId="273E4A06">
            <w:pPr>
              <w:spacing w:line="360" w:lineRule="auto"/>
              <w:jc w:val="both"/>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rPr>
              <w:t>2、低于90分为不合格，不合格停止次年合同续签</w:t>
            </w:r>
            <w:r>
              <w:rPr>
                <w:rFonts w:hint="eastAsia" w:ascii="Times New Roman" w:hAnsi="Times New Roman" w:eastAsia="宋体" w:cs="Times New Roman"/>
                <w:color w:val="auto"/>
                <w:kern w:val="0"/>
                <w:sz w:val="22"/>
                <w:szCs w:val="22"/>
                <w:highlight w:val="none"/>
                <w:lang w:eastAsia="zh-CN"/>
              </w:rPr>
              <w:t>。</w:t>
            </w:r>
          </w:p>
        </w:tc>
      </w:tr>
    </w:tbl>
    <w:p w14:paraId="6F37CE31">
      <w:pPr>
        <w:rPr>
          <w:rFonts w:hint="eastAsia" w:eastAsia="宋体"/>
          <w:lang w:eastAsia="zh-CN"/>
        </w:rPr>
      </w:pPr>
    </w:p>
    <w:p w14:paraId="50ECF8E9">
      <w:pPr>
        <w:spacing w:before="180" w:line="220" w:lineRule="auto"/>
        <w:ind w:left="29"/>
        <w:outlineLvl w:val="1"/>
        <w:rPr>
          <w:rFonts w:ascii="新宋体" w:hAnsi="新宋体" w:eastAsia="新宋体" w:cs="新宋体"/>
          <w:b/>
          <w:bCs/>
          <w:kern w:val="0"/>
          <w:sz w:val="22"/>
          <w:szCs w:val="22"/>
        </w:rPr>
      </w:pPr>
      <w:r>
        <w:rPr>
          <w:rFonts w:hint="eastAsia"/>
          <w:b/>
          <w:bCs/>
          <w:sz w:val="22"/>
          <w:szCs w:val="22"/>
          <w:lang w:eastAsia="zh-CN"/>
        </w:rPr>
        <w:t>（</w:t>
      </w:r>
      <w:r>
        <w:rPr>
          <w:rFonts w:hint="eastAsia"/>
          <w:b/>
          <w:bCs/>
          <w:sz w:val="22"/>
          <w:szCs w:val="22"/>
          <w:lang w:val="en-US" w:eastAsia="zh-CN"/>
        </w:rPr>
        <w:t>五</w:t>
      </w:r>
      <w:r>
        <w:rPr>
          <w:rFonts w:hint="eastAsia"/>
          <w:b/>
          <w:bCs/>
          <w:sz w:val="22"/>
          <w:szCs w:val="22"/>
          <w:lang w:eastAsia="zh-CN"/>
        </w:rPr>
        <w:t>）</w:t>
      </w:r>
      <w:r>
        <w:rPr>
          <w:rFonts w:ascii="新宋体" w:hAnsi="新宋体" w:eastAsia="新宋体" w:cs="新宋体"/>
          <w:b/>
          <w:bCs/>
          <w:spacing w:val="-1"/>
          <w:kern w:val="0"/>
          <w:sz w:val="22"/>
          <w:szCs w:val="22"/>
        </w:rPr>
        <w:t>商务及其他要求</w:t>
      </w:r>
    </w:p>
    <w:p w14:paraId="3E856BF9">
      <w:pPr>
        <w:spacing w:line="18" w:lineRule="exact"/>
        <w:rPr>
          <w:rFonts w:ascii="Times New Roman" w:hAnsi="Times New Roman" w:eastAsia="宋体" w:cs="Times New Roman"/>
          <w:b/>
          <w:bCs/>
          <w:kern w:val="0"/>
          <w:sz w:val="20"/>
          <w:szCs w:val="20"/>
        </w:rPr>
      </w:pPr>
    </w:p>
    <w:tbl>
      <w:tblPr>
        <w:tblStyle w:val="53"/>
        <w:tblW w:w="96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8950"/>
      </w:tblGrid>
      <w:tr w14:paraId="3D17E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27" w:type="dxa"/>
            <w:noWrap w:val="0"/>
            <w:vAlign w:val="center"/>
          </w:tcPr>
          <w:p w14:paraId="346A459E">
            <w:pPr>
              <w:pStyle w:val="98"/>
              <w:autoSpaceDE w:val="0"/>
              <w:autoSpaceDN w:val="0"/>
              <w:spacing w:before="177"/>
              <w:jc w:val="center"/>
              <w:rPr>
                <w:kern w:val="0"/>
                <w:sz w:val="24"/>
                <w:szCs w:val="24"/>
              </w:rPr>
            </w:pPr>
            <w:r>
              <w:rPr>
                <w:rFonts w:hint="eastAsia"/>
                <w:kern w:val="0"/>
                <w:lang w:val="en-US" w:eastAsia="zh-CN"/>
              </w:rPr>
              <w:t>1</w:t>
            </w:r>
          </w:p>
        </w:tc>
        <w:tc>
          <w:tcPr>
            <w:tcW w:w="8950" w:type="dxa"/>
            <w:noWrap w:val="0"/>
            <w:vAlign w:val="top"/>
          </w:tcPr>
          <w:p w14:paraId="21DEF94A">
            <w:pPr>
              <w:pStyle w:val="98"/>
              <w:autoSpaceDE w:val="0"/>
              <w:autoSpaceDN w:val="0"/>
              <w:spacing w:before="177" w:line="309" w:lineRule="auto"/>
              <w:ind w:left="131" w:right="106" w:hanging="16"/>
              <w:rPr>
                <w:kern w:val="0"/>
                <w:sz w:val="24"/>
                <w:szCs w:val="24"/>
              </w:rPr>
            </w:pPr>
            <w:r>
              <w:rPr>
                <w:spacing w:val="2"/>
                <w:kern w:val="0"/>
                <w:sz w:val="24"/>
                <w:szCs w:val="24"/>
              </w:rPr>
              <w:t>详细列出并标明涉及本项目但不含报价中的其他费用，并对各项给予单独报价。</w:t>
            </w:r>
            <w:r>
              <w:rPr>
                <w:spacing w:val="1"/>
                <w:kern w:val="0"/>
                <w:sz w:val="24"/>
                <w:szCs w:val="24"/>
              </w:rPr>
              <w:t>若未列</w:t>
            </w:r>
            <w:r>
              <w:rPr>
                <w:spacing w:val="-3"/>
                <w:kern w:val="0"/>
                <w:sz w:val="24"/>
                <w:szCs w:val="24"/>
              </w:rPr>
              <w:t>出，视为包含在投标总价中。</w:t>
            </w:r>
          </w:p>
        </w:tc>
      </w:tr>
      <w:tr w14:paraId="45F98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727" w:type="dxa"/>
            <w:noWrap w:val="0"/>
            <w:vAlign w:val="center"/>
          </w:tcPr>
          <w:p w14:paraId="26A7B19F">
            <w:pPr>
              <w:pStyle w:val="98"/>
              <w:autoSpaceDE w:val="0"/>
              <w:autoSpaceDN w:val="0"/>
              <w:spacing w:before="179"/>
              <w:ind w:left="119" w:leftChars="0"/>
              <w:jc w:val="center"/>
              <w:rPr>
                <w:kern w:val="0"/>
                <w:sz w:val="24"/>
                <w:szCs w:val="24"/>
              </w:rPr>
            </w:pPr>
            <w:r>
              <w:rPr>
                <w:rFonts w:hint="eastAsia"/>
                <w:kern w:val="0"/>
                <w:lang w:val="en-US" w:eastAsia="zh-CN"/>
              </w:rPr>
              <w:t>2</w:t>
            </w:r>
          </w:p>
        </w:tc>
        <w:tc>
          <w:tcPr>
            <w:tcW w:w="8950" w:type="dxa"/>
            <w:noWrap w:val="0"/>
            <w:vAlign w:val="top"/>
          </w:tcPr>
          <w:p w14:paraId="214BD4E0">
            <w:pPr>
              <w:pStyle w:val="98"/>
              <w:autoSpaceDE w:val="0"/>
              <w:autoSpaceDN w:val="0"/>
              <w:spacing w:before="179" w:line="334" w:lineRule="auto"/>
              <w:ind w:left="114" w:right="106" w:hanging="1"/>
              <w:jc w:val="both"/>
              <w:rPr>
                <w:kern w:val="0"/>
                <w:sz w:val="24"/>
                <w:szCs w:val="24"/>
              </w:rPr>
            </w:pPr>
            <w:r>
              <w:rPr>
                <w:spacing w:val="-4"/>
                <w:kern w:val="0"/>
                <w:sz w:val="24"/>
                <w:szCs w:val="24"/>
              </w:rPr>
              <w:t>服务考核要求：报告时间延迟</w:t>
            </w:r>
            <w:r>
              <w:rPr>
                <w:spacing w:val="-30"/>
                <w:kern w:val="0"/>
                <w:sz w:val="24"/>
                <w:szCs w:val="24"/>
              </w:rPr>
              <w:t xml:space="preserve"> </w:t>
            </w:r>
            <w:r>
              <w:rPr>
                <w:spacing w:val="-4"/>
                <w:kern w:val="0"/>
                <w:sz w:val="24"/>
                <w:szCs w:val="24"/>
              </w:rPr>
              <w:t>1</w:t>
            </w:r>
            <w:r>
              <w:rPr>
                <w:spacing w:val="-44"/>
                <w:kern w:val="0"/>
                <w:sz w:val="24"/>
                <w:szCs w:val="24"/>
              </w:rPr>
              <w:t xml:space="preserve"> </w:t>
            </w:r>
            <w:r>
              <w:rPr>
                <w:spacing w:val="-4"/>
                <w:kern w:val="0"/>
                <w:sz w:val="24"/>
                <w:szCs w:val="24"/>
              </w:rPr>
              <w:t>天扣检测服务费的</w:t>
            </w:r>
            <w:r>
              <w:rPr>
                <w:spacing w:val="-42"/>
                <w:kern w:val="0"/>
                <w:sz w:val="24"/>
                <w:szCs w:val="24"/>
              </w:rPr>
              <w:t xml:space="preserve"> </w:t>
            </w:r>
            <w:r>
              <w:rPr>
                <w:spacing w:val="-4"/>
                <w:kern w:val="0"/>
                <w:sz w:val="24"/>
                <w:szCs w:val="24"/>
              </w:rPr>
              <w:t>50%，延迟</w:t>
            </w:r>
            <w:r>
              <w:rPr>
                <w:spacing w:val="-44"/>
                <w:kern w:val="0"/>
                <w:sz w:val="24"/>
                <w:szCs w:val="24"/>
              </w:rPr>
              <w:t xml:space="preserve"> </w:t>
            </w:r>
            <w:r>
              <w:rPr>
                <w:spacing w:val="-4"/>
                <w:kern w:val="0"/>
                <w:sz w:val="24"/>
                <w:szCs w:val="24"/>
              </w:rPr>
              <w:t>2</w:t>
            </w:r>
            <w:r>
              <w:rPr>
                <w:spacing w:val="-44"/>
                <w:kern w:val="0"/>
                <w:sz w:val="24"/>
                <w:szCs w:val="24"/>
              </w:rPr>
              <w:t xml:space="preserve"> </w:t>
            </w:r>
            <w:r>
              <w:rPr>
                <w:spacing w:val="-4"/>
                <w:kern w:val="0"/>
                <w:sz w:val="24"/>
                <w:szCs w:val="24"/>
              </w:rPr>
              <w:t>天检验单位收取的检测服</w:t>
            </w:r>
            <w:r>
              <w:rPr>
                <w:spacing w:val="2"/>
                <w:kern w:val="0"/>
                <w:sz w:val="24"/>
                <w:szCs w:val="24"/>
              </w:rPr>
              <w:t>务费全部扣除，如造成投诉纠纷需承担相应责任。五次以上延迟报告的，院方有权</w:t>
            </w:r>
            <w:r>
              <w:rPr>
                <w:spacing w:val="1"/>
                <w:kern w:val="0"/>
                <w:sz w:val="24"/>
                <w:szCs w:val="24"/>
              </w:rPr>
              <w:t>利提</w:t>
            </w:r>
            <w:r>
              <w:rPr>
                <w:spacing w:val="-2"/>
                <w:kern w:val="0"/>
                <w:sz w:val="24"/>
                <w:szCs w:val="24"/>
              </w:rPr>
              <w:t>前解除合同。</w:t>
            </w:r>
          </w:p>
        </w:tc>
      </w:tr>
      <w:tr w14:paraId="68F04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27" w:type="dxa"/>
            <w:noWrap w:val="0"/>
            <w:vAlign w:val="center"/>
          </w:tcPr>
          <w:p w14:paraId="5C2FF306">
            <w:pPr>
              <w:pStyle w:val="98"/>
              <w:autoSpaceDE w:val="0"/>
              <w:autoSpaceDN w:val="0"/>
              <w:spacing w:before="180"/>
              <w:ind w:left="119" w:leftChars="0"/>
              <w:jc w:val="center"/>
              <w:rPr>
                <w:kern w:val="0"/>
                <w:sz w:val="24"/>
                <w:szCs w:val="24"/>
              </w:rPr>
            </w:pPr>
            <w:r>
              <w:rPr>
                <w:rFonts w:hint="eastAsia"/>
                <w:kern w:val="0"/>
                <w:lang w:val="en-US" w:eastAsia="zh-CN"/>
              </w:rPr>
              <w:t>3</w:t>
            </w:r>
          </w:p>
        </w:tc>
        <w:tc>
          <w:tcPr>
            <w:tcW w:w="8950" w:type="dxa"/>
            <w:noWrap w:val="0"/>
            <w:vAlign w:val="top"/>
          </w:tcPr>
          <w:p w14:paraId="6E69C2E8">
            <w:pPr>
              <w:pStyle w:val="98"/>
              <w:autoSpaceDE w:val="0"/>
              <w:autoSpaceDN w:val="0"/>
              <w:spacing w:before="179" w:line="308" w:lineRule="auto"/>
              <w:ind w:left="114" w:right="109" w:firstLine="12"/>
              <w:rPr>
                <w:kern w:val="0"/>
                <w:sz w:val="24"/>
                <w:szCs w:val="24"/>
              </w:rPr>
            </w:pPr>
            <w:r>
              <w:rPr>
                <w:spacing w:val="2"/>
                <w:kern w:val="0"/>
                <w:sz w:val="24"/>
                <w:szCs w:val="24"/>
              </w:rPr>
              <w:t>当招标人对投标人实验室的检验结果有疑义或异</w:t>
            </w:r>
            <w:r>
              <w:rPr>
                <w:spacing w:val="1"/>
                <w:kern w:val="0"/>
                <w:sz w:val="24"/>
                <w:szCs w:val="24"/>
              </w:rPr>
              <w:t>议时，可要求投标人实验室重新检验或</w:t>
            </w:r>
            <w:r>
              <w:rPr>
                <w:spacing w:val="-1"/>
                <w:kern w:val="0"/>
                <w:sz w:val="24"/>
                <w:szCs w:val="24"/>
              </w:rPr>
              <w:t>再委托第三方检验。这种情况下所发生的费用，由责任方承担。</w:t>
            </w:r>
          </w:p>
        </w:tc>
      </w:tr>
      <w:tr w14:paraId="66424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27" w:type="dxa"/>
            <w:noWrap w:val="0"/>
            <w:vAlign w:val="center"/>
          </w:tcPr>
          <w:p w14:paraId="222AF2B5">
            <w:pPr>
              <w:pStyle w:val="98"/>
              <w:autoSpaceDE w:val="0"/>
              <w:autoSpaceDN w:val="0"/>
              <w:spacing w:before="182"/>
              <w:ind w:left="119" w:leftChars="0"/>
              <w:jc w:val="center"/>
              <w:rPr>
                <w:kern w:val="0"/>
                <w:sz w:val="24"/>
                <w:szCs w:val="24"/>
              </w:rPr>
            </w:pPr>
            <w:r>
              <w:rPr>
                <w:rFonts w:hint="eastAsia"/>
                <w:kern w:val="0"/>
                <w:lang w:val="en-US" w:eastAsia="zh-CN"/>
              </w:rPr>
              <w:t>4</w:t>
            </w:r>
          </w:p>
        </w:tc>
        <w:tc>
          <w:tcPr>
            <w:tcW w:w="8950" w:type="dxa"/>
            <w:noWrap w:val="0"/>
            <w:vAlign w:val="top"/>
          </w:tcPr>
          <w:p w14:paraId="32048846">
            <w:pPr>
              <w:pStyle w:val="98"/>
              <w:autoSpaceDE w:val="0"/>
              <w:autoSpaceDN w:val="0"/>
              <w:spacing w:before="182" w:line="307" w:lineRule="auto"/>
              <w:ind w:left="113" w:right="106" w:firstLine="3"/>
              <w:rPr>
                <w:kern w:val="0"/>
                <w:sz w:val="24"/>
                <w:szCs w:val="24"/>
              </w:rPr>
            </w:pPr>
            <w:r>
              <w:rPr>
                <w:spacing w:val="2"/>
                <w:kern w:val="0"/>
                <w:sz w:val="24"/>
                <w:szCs w:val="24"/>
              </w:rPr>
              <w:t>如投标人因各种规范性问题被行政监督部门惩罚，所产生的一切后果及损失，</w:t>
            </w:r>
            <w:r>
              <w:rPr>
                <w:spacing w:val="1"/>
                <w:kern w:val="0"/>
                <w:sz w:val="24"/>
                <w:szCs w:val="24"/>
              </w:rPr>
              <w:t>由投标人</w:t>
            </w:r>
            <w:r>
              <w:rPr>
                <w:spacing w:val="-1"/>
                <w:kern w:val="0"/>
                <w:sz w:val="24"/>
                <w:szCs w:val="24"/>
              </w:rPr>
              <w:t>承担，对招标人造成的影响及损失，投标人需进行相应的赔偿。</w:t>
            </w:r>
          </w:p>
        </w:tc>
      </w:tr>
      <w:tr w14:paraId="130D4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727" w:type="dxa"/>
            <w:noWrap w:val="0"/>
            <w:vAlign w:val="center"/>
          </w:tcPr>
          <w:p w14:paraId="339EEB01">
            <w:pPr>
              <w:pStyle w:val="98"/>
              <w:autoSpaceDE w:val="0"/>
              <w:autoSpaceDN w:val="0"/>
              <w:spacing w:before="182"/>
              <w:ind w:left="119" w:leftChars="0"/>
              <w:jc w:val="center"/>
              <w:rPr>
                <w:kern w:val="0"/>
                <w:sz w:val="24"/>
                <w:szCs w:val="24"/>
                <w:highlight w:val="none"/>
              </w:rPr>
            </w:pPr>
            <w:r>
              <w:rPr>
                <w:rFonts w:hint="eastAsia"/>
                <w:kern w:val="0"/>
                <w:highlight w:val="none"/>
                <w:lang w:val="en-US" w:eastAsia="zh-CN"/>
              </w:rPr>
              <w:t>5</w:t>
            </w:r>
          </w:p>
        </w:tc>
        <w:tc>
          <w:tcPr>
            <w:tcW w:w="8950" w:type="dxa"/>
            <w:noWrap w:val="0"/>
            <w:vAlign w:val="top"/>
          </w:tcPr>
          <w:p w14:paraId="3D7ECBF1">
            <w:pPr>
              <w:pStyle w:val="98"/>
              <w:autoSpaceDE w:val="0"/>
              <w:autoSpaceDN w:val="0"/>
              <w:spacing w:before="1" w:line="336" w:lineRule="auto"/>
              <w:ind w:left="112" w:right="106" w:firstLine="3"/>
              <w:jc w:val="both"/>
              <w:rPr>
                <w:spacing w:val="-2"/>
                <w:kern w:val="0"/>
                <w:sz w:val="24"/>
                <w:szCs w:val="24"/>
                <w:highlight w:val="none"/>
              </w:rPr>
            </w:pPr>
            <w:r>
              <w:rPr>
                <w:spacing w:val="-1"/>
                <w:kern w:val="0"/>
                <w:sz w:val="24"/>
                <w:szCs w:val="24"/>
                <w:highlight w:val="none"/>
              </w:rPr>
              <w:t>付款方式</w:t>
            </w:r>
            <w:r>
              <w:rPr>
                <w:rFonts w:hint="eastAsia"/>
                <w:spacing w:val="-1"/>
                <w:kern w:val="0"/>
                <w:sz w:val="24"/>
                <w:szCs w:val="24"/>
                <w:highlight w:val="none"/>
                <w:lang w:eastAsia="zh-CN"/>
              </w:rPr>
              <w:t>：</w:t>
            </w:r>
            <w:r>
              <w:rPr>
                <w:spacing w:val="-1"/>
                <w:kern w:val="0"/>
                <w:sz w:val="24"/>
                <w:szCs w:val="24"/>
                <w:highlight w:val="none"/>
              </w:rPr>
              <w:t>每季度结算一次，业务量的结算以结算周期内项目检测清单或外送标本登</w:t>
            </w:r>
            <w:r>
              <w:rPr>
                <w:spacing w:val="2"/>
                <w:kern w:val="0"/>
                <w:sz w:val="24"/>
                <w:szCs w:val="24"/>
                <w:highlight w:val="none"/>
              </w:rPr>
              <w:t>记的签收记录为准，按单价与业务量的乘积作为该季度外送检验费用。每个季度结束后</w:t>
            </w:r>
            <w:r>
              <w:rPr>
                <w:spacing w:val="-2"/>
                <w:kern w:val="0"/>
                <w:sz w:val="24"/>
                <w:szCs w:val="24"/>
                <w:highlight w:val="none"/>
              </w:rPr>
              <w:t>的次月首日起</w:t>
            </w:r>
            <w:r>
              <w:rPr>
                <w:spacing w:val="-21"/>
                <w:kern w:val="0"/>
                <w:sz w:val="24"/>
                <w:szCs w:val="24"/>
                <w:highlight w:val="none"/>
              </w:rPr>
              <w:t xml:space="preserve"> </w:t>
            </w:r>
            <w:r>
              <w:rPr>
                <w:rFonts w:hint="eastAsia"/>
                <w:spacing w:val="-2"/>
                <w:kern w:val="0"/>
                <w:sz w:val="24"/>
                <w:szCs w:val="24"/>
                <w:highlight w:val="none"/>
                <w:lang w:val="en-US" w:eastAsia="zh-CN"/>
              </w:rPr>
              <w:t>15</w:t>
            </w:r>
            <w:r>
              <w:rPr>
                <w:spacing w:val="-2"/>
                <w:kern w:val="0"/>
                <w:sz w:val="24"/>
                <w:szCs w:val="24"/>
                <w:highlight w:val="none"/>
              </w:rPr>
              <w:t>个工作日内完成前一季度结算和付款。</w:t>
            </w:r>
          </w:p>
          <w:p w14:paraId="3397D24F">
            <w:pPr>
              <w:pStyle w:val="98"/>
              <w:autoSpaceDE w:val="0"/>
              <w:autoSpaceDN w:val="0"/>
              <w:spacing w:before="1" w:line="336" w:lineRule="auto"/>
              <w:ind w:left="112" w:right="106" w:firstLine="3"/>
              <w:jc w:val="both"/>
              <w:rPr>
                <w:spacing w:val="-2"/>
                <w:kern w:val="0"/>
                <w:sz w:val="24"/>
                <w:szCs w:val="24"/>
                <w:highlight w:val="none"/>
              </w:rPr>
            </w:pPr>
            <w:r>
              <w:rPr>
                <w:spacing w:val="-1"/>
                <w:kern w:val="0"/>
                <w:sz w:val="24"/>
                <w:szCs w:val="24"/>
                <w:highlight w:val="none"/>
              </w:rPr>
              <w:t>每次付款前，卖方须提交等额发票，买方收到发票后</w:t>
            </w:r>
            <w:r>
              <w:rPr>
                <w:spacing w:val="-41"/>
                <w:kern w:val="0"/>
                <w:sz w:val="24"/>
                <w:szCs w:val="24"/>
                <w:highlight w:val="none"/>
              </w:rPr>
              <w:t xml:space="preserve"> </w:t>
            </w:r>
            <w:r>
              <w:rPr>
                <w:rFonts w:hint="eastAsia"/>
                <w:spacing w:val="-1"/>
                <w:kern w:val="0"/>
                <w:sz w:val="24"/>
                <w:szCs w:val="24"/>
                <w:highlight w:val="none"/>
                <w:lang w:val="en-US" w:eastAsia="zh-CN"/>
              </w:rPr>
              <w:t>90</w:t>
            </w:r>
            <w:r>
              <w:rPr>
                <w:spacing w:val="-1"/>
                <w:kern w:val="0"/>
                <w:sz w:val="24"/>
                <w:szCs w:val="24"/>
                <w:highlight w:val="none"/>
              </w:rPr>
              <w:t>个工作日内支付。</w:t>
            </w:r>
          </w:p>
        </w:tc>
      </w:tr>
    </w:tbl>
    <w:p w14:paraId="4F6623BB">
      <w:pPr>
        <w:adjustRightInd w:val="0"/>
        <w:snapToGrid w:val="0"/>
        <w:spacing w:line="454" w:lineRule="atLeast"/>
        <w:jc w:val="center"/>
        <w:rPr>
          <w:rFonts w:hint="eastAsia" w:ascii="宋体" w:hAnsi="宋体"/>
          <w:b/>
          <w:color w:val="auto"/>
          <w:sz w:val="32"/>
          <w:szCs w:val="32"/>
          <w:highlight w:val="none"/>
        </w:rPr>
      </w:pPr>
    </w:p>
    <w:p w14:paraId="68B54DCB">
      <w:pPr>
        <w:adjustRightInd w:val="0"/>
        <w:snapToGrid w:val="0"/>
        <w:spacing w:line="454" w:lineRule="atLeast"/>
        <w:jc w:val="center"/>
        <w:rPr>
          <w:rFonts w:hint="eastAsia" w:ascii="宋体" w:hAnsi="宋体"/>
          <w:b/>
          <w:color w:val="auto"/>
          <w:sz w:val="32"/>
          <w:szCs w:val="32"/>
          <w:highlight w:val="none"/>
        </w:rPr>
      </w:pPr>
    </w:p>
    <w:p w14:paraId="03CE59B3">
      <w:pPr>
        <w:adjustRightInd w:val="0"/>
        <w:snapToGrid w:val="0"/>
        <w:spacing w:line="454" w:lineRule="atLeast"/>
        <w:jc w:val="both"/>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w:t>
      </w:r>
      <w:r>
        <w:rPr>
          <w:rFonts w:hint="eastAsia" w:ascii="宋体" w:hAnsi="宋体"/>
          <w:color w:val="auto"/>
          <w:sz w:val="22"/>
          <w:szCs w:val="22"/>
          <w:highlight w:val="none"/>
          <w:lang w:val="en-US" w:eastAsia="zh-CN"/>
        </w:rPr>
        <w:t>可以选择标项进行投标，但</w:t>
      </w:r>
      <w:r>
        <w:rPr>
          <w:rFonts w:hint="eastAsia" w:ascii="宋体" w:hAnsi="宋体"/>
          <w:color w:val="auto"/>
          <w:sz w:val="22"/>
          <w:szCs w:val="22"/>
          <w:highlight w:val="none"/>
        </w:rPr>
        <w:t>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3FCEFC0D">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8</w:t>
      </w:r>
      <w:r>
        <w:rPr>
          <w:rFonts w:hint="eastAsia" w:ascii="宋体"/>
          <w:color w:val="auto"/>
          <w:sz w:val="22"/>
          <w:highlight w:val="none"/>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2A55A434">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9</w:t>
      </w:r>
      <w:r>
        <w:rPr>
          <w:rFonts w:hint="eastAsia" w:ascii="宋体"/>
          <w:color w:val="auto"/>
          <w:sz w:val="22"/>
          <w:highlight w:val="none"/>
        </w:rPr>
        <w:t>、</w:t>
      </w:r>
      <w:r>
        <w:rPr>
          <w:rFonts w:hint="eastAsia" w:ascii="宋体"/>
          <w:color w:val="auto"/>
          <w:sz w:val="22"/>
          <w:highlight w:val="none"/>
          <w:lang w:val="zh-CN"/>
        </w:rPr>
        <w:t>本项目投标文件签章须采用供应商正式公章，不得以投标专用章或业务章、合同章等代替。</w:t>
      </w:r>
    </w:p>
    <w:p w14:paraId="7DD121B5">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00B7FA67">
      <w:pPr>
        <w:autoSpaceDE w:val="0"/>
        <w:autoSpaceDN w:val="0"/>
        <w:adjustRightInd w:val="0"/>
        <w:spacing w:line="400" w:lineRule="atLeast"/>
        <w:ind w:firstLine="446" w:firstLineChars="200"/>
        <w:textAlignment w:val="bottom"/>
        <w:rPr>
          <w:rFonts w:hint="eastAsia" w:ascii="宋体" w:hAns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）供应商在国家企业信用信息公示系统网（https://www.gsxt.gov.cn/）无严重违法企业记录。</w:t>
      </w:r>
    </w:p>
    <w:p w14:paraId="2BC15FCB">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0AFE46A2">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0A1530EB">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如供应商有上述情形并参与本项目投标的，一经查实，其投标做无效投标处理。</w:t>
      </w:r>
    </w:p>
    <w:p w14:paraId="2386B74B">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w:t>
      </w: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3478DEAE">
      <w:pPr>
        <w:widowControl/>
        <w:snapToGrid w:val="0"/>
        <w:spacing w:line="400" w:lineRule="atLeast"/>
        <w:ind w:firstLine="486" w:firstLineChars="200"/>
        <w:rPr>
          <w:rFonts w:ascii="宋体"/>
          <w:color w:val="auto"/>
          <w:sz w:val="22"/>
          <w:szCs w:val="22"/>
          <w:highlight w:val="none"/>
          <w:u w:val="single"/>
        </w:rPr>
      </w:pPr>
      <w:r>
        <w:rPr>
          <w:rFonts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9850F7">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363056">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二</w:t>
            </w:r>
            <w:r>
              <w:rPr>
                <w:rStyle w:val="37"/>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7BD1A1">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1FE1CC6">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B7AA35">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B15197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四</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08F6E3">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五</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BA270B9">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b w:val="0"/>
                <w:bCs w:val="0"/>
                <w:color w:val="auto"/>
                <w:sz w:val="22"/>
                <w:highlight w:val="none"/>
                <w:lang w:val="en-US" w:eastAsia="zh-CN"/>
              </w:rPr>
              <w:t>六</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B0058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七</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七</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32E99C">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6889BB9">
            <w:pPr>
              <w:autoSpaceDE w:val="0"/>
              <w:autoSpaceDN w:val="0"/>
              <w:adjustRightInd w:val="0"/>
              <w:snapToGrid w:val="0"/>
              <w:spacing w:line="430" w:lineRule="atLeast"/>
              <w:rPr>
                <w:rFonts w:hint="default" w:ascii="宋体" w:eastAsia="宋体"/>
                <w:b w:val="0"/>
                <w:bCs w:val="0"/>
                <w:color w:val="auto"/>
                <w:sz w:val="22"/>
                <w:highlight w:val="none"/>
                <w:lang w:val="en-US" w:eastAsia="zh-CN"/>
              </w:rPr>
            </w:pPr>
            <w:r>
              <w:rPr>
                <w:rFonts w:hint="eastAsia" w:ascii="宋体"/>
                <w:b w:val="0"/>
                <w:bCs w:val="0"/>
                <w:color w:val="auto"/>
                <w:sz w:val="22"/>
                <w:highlight w:val="none"/>
              </w:rPr>
              <w:t>针对本项目</w:t>
            </w:r>
            <w:r>
              <w:rPr>
                <w:rFonts w:hint="eastAsia" w:ascii="宋体"/>
                <w:b w:val="0"/>
                <w:bCs w:val="0"/>
                <w:color w:val="auto"/>
                <w:sz w:val="22"/>
                <w:highlight w:val="none"/>
                <w:lang w:val="en-US" w:eastAsia="zh-CN"/>
              </w:rPr>
              <w:t>详细的服务方案</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45CD6B">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7726848">
            <w:pPr>
              <w:autoSpaceDE w:val="0"/>
              <w:autoSpaceDN w:val="0"/>
              <w:adjustRightInd w:val="0"/>
              <w:snapToGrid w:val="0"/>
              <w:spacing w:line="430" w:lineRule="atLeast"/>
              <w:rPr>
                <w:rFonts w:ascii="宋体" w:hAnsi="宋体" w:cs="Arial"/>
                <w:b w:val="0"/>
                <w:bCs w:val="0"/>
                <w:color w:val="auto"/>
                <w:sz w:val="22"/>
                <w:highlight w:val="none"/>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w:t>
            </w:r>
          </w:p>
        </w:tc>
      </w:tr>
      <w:tr w14:paraId="06FB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6A1A48">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FD62F08">
            <w:pPr>
              <w:autoSpaceDE w:val="0"/>
              <w:autoSpaceDN w:val="0"/>
              <w:adjustRightInd w:val="0"/>
              <w:snapToGrid w:val="0"/>
              <w:spacing w:line="430" w:lineRule="atLeast"/>
              <w:rPr>
                <w:rFonts w:hint="eastAsia" w:ascii="宋体" w:hAnsi="宋体" w:eastAsia="宋体"/>
                <w:b w:val="0"/>
                <w:bCs w:val="0"/>
                <w:color w:val="auto"/>
                <w:sz w:val="22"/>
                <w:szCs w:val="22"/>
                <w:highlight w:val="none"/>
              </w:rPr>
            </w:pPr>
            <w:r>
              <w:rPr>
                <w:rFonts w:hint="eastAsia" w:ascii="Times New Roman" w:hAnsi="Times New Roman"/>
                <w:b w:val="0"/>
                <w:bCs w:val="0"/>
                <w:color w:val="auto"/>
                <w:sz w:val="22"/>
                <w:szCs w:val="22"/>
                <w:highlight w:val="none"/>
              </w:rPr>
              <w:t>（适用于按医疗器械管理的设备）</w:t>
            </w:r>
            <w:r>
              <w:rPr>
                <w:rFonts w:hint="eastAsia" w:ascii="Times New Roman" w:hAnsi="Times New Roman"/>
                <w:b w:val="0"/>
                <w:bCs w:val="0"/>
                <w:color w:val="auto"/>
                <w:sz w:val="22"/>
                <w:szCs w:val="22"/>
                <w:highlight w:val="none"/>
              </w:rPr>
              <w:br w:type="textWrapping"/>
            </w: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为医疗器械生产企业的：第二类、第三类医疗器械生产企业提供《医疗器械生产许可证》、第一类医疗器械生产企业提供第一类医疗器械生产备案凭证；</w:t>
            </w:r>
          </w:p>
          <w:p w14:paraId="7C98022C">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为医疗器械经营企业的：第三类医疗器械经营企业提供《医疗器械经营许可证》、第二类医疗器械经营企业提供第二类医疗器械经营备案凭证；</w:t>
            </w:r>
          </w:p>
        </w:tc>
      </w:tr>
      <w:tr w14:paraId="38C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55A70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C89A53F">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提供食品药品监督管理部门核发的完整有效的医疗器械注册或备案证明</w:t>
            </w:r>
            <w:r>
              <w:rPr>
                <w:rFonts w:hint="eastAsia" w:ascii="Times New Roman" w:hAnsi="Times New Roman"/>
                <w:b w:val="0"/>
                <w:bCs w:val="0"/>
                <w:color w:val="auto"/>
                <w:sz w:val="22"/>
                <w:szCs w:val="22"/>
                <w:highlight w:val="none"/>
              </w:rPr>
              <w:t>（适用于按医疗器械管理的设备）</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2ECD7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D60C050">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ECC9F5">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2AFCF55">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九</w:t>
            </w:r>
            <w:r>
              <w:rPr>
                <w:rFonts w:hint="eastAsia" w:ascii="宋体" w:hAnsi="宋体"/>
                <w:color w:val="auto"/>
                <w:sz w:val="22"/>
                <w:highlight w:val="none"/>
              </w:rPr>
              <w:t>）</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E73D7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E36DA27">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4AE44B">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99004E5">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政府采购活动现场确认声明书（附件十）</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93C538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202BD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F7FDB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2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B15EA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F6D334">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00B2A74">
            <w:pPr>
              <w:numPr>
                <w:ilvl w:val="0"/>
                <w:numId w:val="11"/>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D183057">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39A21D00">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B0FBDCC">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3" w:name="_Toc132122115"/>
      <w:bookmarkStart w:id="4" w:name="_Toc132122412"/>
      <w:bookmarkStart w:id="5" w:name="_Toc132122116"/>
      <w:bookmarkStart w:id="6" w:name="_Toc132122413"/>
      <w:r>
        <w:rPr>
          <w:rFonts w:ascii="宋体"/>
          <w:color w:val="auto"/>
          <w:sz w:val="22"/>
          <w:szCs w:val="22"/>
          <w:highlight w:val="none"/>
        </w:rPr>
        <w:t>4.</w:t>
      </w:r>
      <w:r>
        <w:rPr>
          <w:rFonts w:hint="eastAsia" w:ascii="宋体"/>
          <w:color w:val="auto"/>
          <w:sz w:val="22"/>
          <w:szCs w:val="22"/>
          <w:highlight w:val="none"/>
        </w:rPr>
        <w:t>投标报价</w:t>
      </w:r>
      <w:bookmarkEnd w:id="3"/>
      <w:bookmarkEnd w:id="4"/>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下浮率</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5"/>
    <w:bookmarkEnd w:id="6"/>
    <w:p w14:paraId="258ECB45">
      <w:pPr>
        <w:pStyle w:val="43"/>
        <w:adjustRightInd w:val="0"/>
        <w:snapToGrid w:val="0"/>
        <w:spacing w:line="400" w:lineRule="atLeast"/>
        <w:ind w:firstLine="446" w:firstLineChars="200"/>
        <w:rPr>
          <w:rFonts w:hAnsi="宋体"/>
          <w:color w:val="auto"/>
          <w:sz w:val="22"/>
          <w:highlight w:val="none"/>
        </w:rPr>
      </w:pPr>
      <w:bookmarkStart w:id="7" w:name="_Toc132122117"/>
      <w:bookmarkStart w:id="8"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7"/>
      <w:bookmarkEnd w:id="8"/>
    </w:p>
    <w:p w14:paraId="5BBCD3EB">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3"/>
        <w:adjustRightInd w:val="0"/>
        <w:snapToGrid w:val="0"/>
        <w:spacing w:line="400" w:lineRule="atLeast"/>
        <w:ind w:firstLine="440"/>
        <w:outlineLvl w:val="0"/>
        <w:rPr>
          <w:rFonts w:hAnsi="宋体" w:cs="Arial"/>
          <w:color w:val="auto"/>
          <w:sz w:val="22"/>
          <w:szCs w:val="22"/>
          <w:highlight w:val="none"/>
        </w:rPr>
      </w:pPr>
      <w:bookmarkStart w:id="9" w:name="_Toc132122415"/>
      <w:bookmarkStart w:id="10" w:name="_Toc132122118"/>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9"/>
      <w:bookmarkEnd w:id="10"/>
    </w:p>
    <w:p w14:paraId="02C4763A">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11" w:name="_Toc132125574"/>
      <w:bookmarkStart w:id="12" w:name="_Toc132124594"/>
      <w:bookmarkStart w:id="13" w:name="_Toc132123838"/>
      <w:bookmarkStart w:id="14" w:name="_Toc132125037"/>
      <w:bookmarkStart w:id="15" w:name="_Toc132122416"/>
      <w:bookmarkStart w:id="16" w:name="_Toc132125983"/>
      <w:bookmarkStart w:id="17" w:name="_Toc132125095"/>
      <w:bookmarkStart w:id="18" w:name="_Toc132125151"/>
      <w:bookmarkStart w:id="19" w:name="_Toc132123634"/>
      <w:bookmarkStart w:id="20" w:name="_Toc132122119"/>
      <w:bookmarkStart w:id="21" w:name="_Toc132126154"/>
      <w:bookmarkStart w:id="22" w:name="_Toc132655776"/>
      <w:bookmarkStart w:id="23" w:name="_Toc132123547"/>
      <w:bookmarkStart w:id="24" w:name="_Toc132123439"/>
      <w:bookmarkStart w:id="25" w:name="_Toc132123881"/>
      <w:r>
        <w:rPr>
          <w:rFonts w:hint="eastAsia" w:hAnsi="宋体" w:cs="Arial"/>
          <w:b/>
          <w:bCs/>
          <w:color w:val="auto"/>
          <w:sz w:val="22"/>
          <w:szCs w:val="22"/>
          <w:highlight w:val="none"/>
        </w:rPr>
        <w:t>四、投标文件的递交</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D614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w:t>
      </w:r>
      <w:r>
        <w:rPr>
          <w:rFonts w:hint="eastAsia" w:hAnsi="宋体"/>
          <w:color w:val="auto"/>
          <w:sz w:val="22"/>
          <w:szCs w:val="22"/>
          <w:highlight w:val="none"/>
          <w:lang w:val="en-US" w:eastAsia="zh-CN"/>
        </w:rPr>
        <w:t>纸质</w:t>
      </w:r>
      <w:r>
        <w:rPr>
          <w:rFonts w:hint="eastAsia" w:hAnsi="宋体"/>
          <w:color w:val="auto"/>
          <w:sz w:val="22"/>
          <w:szCs w:val="22"/>
          <w:highlight w:val="none"/>
        </w:rPr>
        <w:t>投标文件”解密：见《投标邀请函（投标须知前附表）》。</w:t>
      </w:r>
    </w:p>
    <w:p w14:paraId="36DED5C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3B3EC788">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1.开标</w:t>
      </w:r>
    </w:p>
    <w:p w14:paraId="25665C50">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1.1招标代理机构按采购文件规定的时间、地点截标、开标。</w:t>
      </w:r>
    </w:p>
    <w:p w14:paraId="7308C5CA">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1.2供应商的授权代表须积极配合可能的询标。</w:t>
      </w:r>
    </w:p>
    <w:p w14:paraId="3C10093C">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1.3 开标</w:t>
      </w:r>
    </w:p>
    <w:p w14:paraId="38AD5017">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（1）宣布开标，公布截止时间参与项目的投标人名单，检查投标（响应）文件密封情况，开启投标（响应）文件。</w:t>
      </w:r>
    </w:p>
    <w:p w14:paraId="298C3C05">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（2）对投标供应商资格进行审查，审查通过后，进入符合性审查。</w:t>
      </w:r>
    </w:p>
    <w:p w14:paraId="5110BD78">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（3）符合性审查</w:t>
      </w:r>
      <w:r>
        <w:rPr>
          <w:rFonts w:hint="eastAsia" w:ascii="宋体" w:hAnsi="宋体" w:cs="Times New Roman"/>
          <w:color w:val="auto"/>
          <w:kern w:val="2"/>
          <w:sz w:val="22"/>
          <w:szCs w:val="22"/>
          <w:highlight w:val="none"/>
          <w:lang w:val="en-US" w:eastAsia="zh-CN" w:bidi="ar-SA"/>
        </w:rPr>
        <w:t>通过</w:t>
      </w:r>
      <w:r>
        <w:rPr>
          <w:rFonts w:hint="eastAsia" w:ascii="宋体" w:hAnsi="宋体" w:eastAsia="宋体" w:cs="Times New Roman"/>
          <w:color w:val="auto"/>
          <w:kern w:val="2"/>
          <w:sz w:val="22"/>
          <w:szCs w:val="22"/>
          <w:highlight w:val="none"/>
          <w:lang w:val="en-US" w:eastAsia="zh-CN" w:bidi="ar-SA"/>
        </w:rPr>
        <w:t>后，进入</w:t>
      </w:r>
      <w:r>
        <w:rPr>
          <w:rFonts w:hint="eastAsia" w:ascii="宋体" w:hAnsi="宋体" w:cs="Times New Roman"/>
          <w:color w:val="auto"/>
          <w:kern w:val="2"/>
          <w:sz w:val="22"/>
          <w:szCs w:val="22"/>
          <w:highlight w:val="none"/>
          <w:lang w:val="en-US" w:eastAsia="zh-CN" w:bidi="ar-SA"/>
        </w:rPr>
        <w:t>商务技术</w:t>
      </w:r>
      <w:r>
        <w:rPr>
          <w:rFonts w:hint="eastAsia" w:ascii="宋体" w:hAnsi="宋体" w:eastAsia="宋体" w:cs="Times New Roman"/>
          <w:color w:val="auto"/>
          <w:kern w:val="2"/>
          <w:sz w:val="22"/>
          <w:szCs w:val="22"/>
          <w:highlight w:val="none"/>
          <w:lang w:val="en-US" w:eastAsia="zh-CN" w:bidi="ar-SA"/>
        </w:rPr>
        <w:t>评分。</w:t>
      </w:r>
    </w:p>
    <w:p w14:paraId="58C81608">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hint="eastAsia" w:ascii="宋体" w:hAnsi="宋体" w:cs="Times New Roman"/>
          <w:color w:val="auto"/>
          <w:kern w:val="2"/>
          <w:sz w:val="22"/>
          <w:szCs w:val="22"/>
          <w:highlight w:val="none"/>
          <w:lang w:val="en-US" w:eastAsia="zh-CN" w:bidi="ar-SA"/>
        </w:rPr>
        <w:t>4</w:t>
      </w:r>
      <w:r>
        <w:rPr>
          <w:rFonts w:hint="eastAsia" w:ascii="宋体" w:hAnsi="宋体" w:eastAsia="宋体" w:cs="Times New Roman"/>
          <w:color w:val="auto"/>
          <w:kern w:val="2"/>
          <w:sz w:val="22"/>
          <w:szCs w:val="22"/>
          <w:highlight w:val="none"/>
          <w:lang w:val="en-US" w:eastAsia="zh-CN" w:bidi="ar-SA"/>
        </w:rPr>
        <w:t>）</w:t>
      </w:r>
      <w:r>
        <w:rPr>
          <w:rFonts w:hint="eastAsia" w:ascii="宋体" w:hAnsi="宋体" w:cs="Times New Roman"/>
          <w:color w:val="auto"/>
          <w:kern w:val="2"/>
          <w:sz w:val="22"/>
          <w:szCs w:val="22"/>
          <w:highlight w:val="none"/>
          <w:lang w:val="en-US" w:eastAsia="zh-CN" w:bidi="ar-SA"/>
        </w:rPr>
        <w:t>商务技术</w:t>
      </w:r>
      <w:r>
        <w:rPr>
          <w:rFonts w:hint="eastAsia" w:ascii="宋体" w:hAnsi="宋体" w:eastAsia="宋体" w:cs="Times New Roman"/>
          <w:color w:val="auto"/>
          <w:kern w:val="2"/>
          <w:sz w:val="22"/>
          <w:szCs w:val="22"/>
          <w:highlight w:val="none"/>
          <w:lang w:val="en-US" w:eastAsia="zh-CN" w:bidi="ar-SA"/>
        </w:rPr>
        <w:t>评审结束后，公布</w:t>
      </w:r>
      <w:r>
        <w:rPr>
          <w:rFonts w:hint="eastAsia" w:ascii="宋体" w:hAnsi="宋体" w:cs="Times New Roman"/>
          <w:color w:val="auto"/>
          <w:kern w:val="2"/>
          <w:sz w:val="22"/>
          <w:szCs w:val="22"/>
          <w:highlight w:val="none"/>
          <w:lang w:val="en-US" w:eastAsia="zh-CN" w:bidi="ar-SA"/>
        </w:rPr>
        <w:t>商务技术得分</w:t>
      </w:r>
      <w:r>
        <w:rPr>
          <w:rFonts w:hint="eastAsia" w:ascii="宋体" w:hAnsi="宋体" w:eastAsia="宋体" w:cs="Times New Roman"/>
          <w:color w:val="auto"/>
          <w:kern w:val="2"/>
          <w:sz w:val="22"/>
          <w:szCs w:val="22"/>
          <w:highlight w:val="none"/>
          <w:lang w:val="en-US" w:eastAsia="zh-CN" w:bidi="ar-SA"/>
        </w:rPr>
        <w:t>。</w:t>
      </w:r>
    </w:p>
    <w:p w14:paraId="7E8D8D00">
      <w:pPr>
        <w:widowControl w:val="0"/>
        <w:adjustRightInd w:val="0"/>
        <w:spacing w:line="400" w:lineRule="atLeast"/>
        <w:ind w:firstLine="438" w:firstLineChars="197"/>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hint="eastAsia" w:ascii="宋体" w:hAnsi="宋体" w:cs="Times New Roman"/>
          <w:color w:val="auto"/>
          <w:kern w:val="2"/>
          <w:sz w:val="22"/>
          <w:szCs w:val="22"/>
          <w:highlight w:val="none"/>
          <w:lang w:val="en-US" w:eastAsia="zh-CN" w:bidi="ar-SA"/>
        </w:rPr>
        <w:t>5</w:t>
      </w:r>
      <w:r>
        <w:rPr>
          <w:rFonts w:hint="eastAsia" w:ascii="宋体" w:hAnsi="宋体" w:eastAsia="宋体" w:cs="Times New Roman"/>
          <w:color w:val="auto"/>
          <w:kern w:val="2"/>
          <w:sz w:val="22"/>
          <w:szCs w:val="22"/>
          <w:highlight w:val="none"/>
          <w:lang w:val="en-US" w:eastAsia="zh-CN" w:bidi="ar-SA"/>
        </w:rPr>
        <w:t>）</w:t>
      </w:r>
      <w:r>
        <w:rPr>
          <w:rFonts w:hint="eastAsia" w:ascii="宋体" w:hAnsi="宋体" w:cs="Times New Roman"/>
          <w:color w:val="auto"/>
          <w:kern w:val="2"/>
          <w:sz w:val="22"/>
          <w:szCs w:val="22"/>
          <w:highlight w:val="none"/>
          <w:lang w:val="en-US" w:eastAsia="zh-CN" w:bidi="ar-SA"/>
        </w:rPr>
        <w:t>开启报价文件，公布投标报价。</w:t>
      </w:r>
    </w:p>
    <w:p w14:paraId="2D791B42">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cs="Times New Roman"/>
          <w:color w:val="auto"/>
          <w:kern w:val="2"/>
          <w:sz w:val="22"/>
          <w:szCs w:val="22"/>
          <w:highlight w:val="none"/>
          <w:lang w:val="en-US" w:eastAsia="zh-CN" w:bidi="ar-SA"/>
        </w:rPr>
        <w:t>（6）</w:t>
      </w:r>
      <w:r>
        <w:rPr>
          <w:rFonts w:hint="eastAsia" w:ascii="宋体" w:hAnsi="宋体" w:eastAsia="宋体" w:cs="Times New Roman"/>
          <w:color w:val="auto"/>
          <w:kern w:val="2"/>
          <w:sz w:val="22"/>
          <w:szCs w:val="22"/>
          <w:highlight w:val="none"/>
          <w:lang w:val="en-US" w:eastAsia="zh-CN" w:bidi="ar-SA"/>
        </w:rPr>
        <w:t>开标结束。</w:t>
      </w:r>
    </w:p>
    <w:p w14:paraId="0917BDFE">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注：开标环节通过“钉钉”群直播方式，各供应商注意提前下载，“钉钉”开标直播群在投标当天公布，由投标供应商自行扫码进入（备注单位名称及授权代表姓名）。</w:t>
      </w:r>
    </w:p>
    <w:p w14:paraId="3EC6ED92">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 商务报价部分投标（响应）文件开标时，投标文件报价出现前后不一致的，按照下列规定修正：</w:t>
      </w:r>
    </w:p>
    <w:p w14:paraId="39E30FC7">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（一）投标文件中《开标（报价）一览表》内容与投标文件中相应内容不一致的，以《开标（报价）一览表》为准；</w:t>
      </w:r>
    </w:p>
    <w:p w14:paraId="1FF98839">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（二）大写金额和小写金额不一致的，以大写金额为准；</w:t>
      </w:r>
    </w:p>
    <w:p w14:paraId="32D0B12D">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（三）单价金额小数点或者百分比有明显错位的，以开标一览表的总价为准，并修改单价；</w:t>
      </w:r>
    </w:p>
    <w:p w14:paraId="6F0FEAB1">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（四）总价金额与按单价汇总金额不一致的，以单价金额计算结果为准。</w:t>
      </w:r>
    </w:p>
    <w:p w14:paraId="2BC8B7DC">
      <w:pPr>
        <w:widowControl w:val="0"/>
        <w:adjustRightInd w:val="0"/>
        <w:spacing w:line="400" w:lineRule="atLeast"/>
        <w:ind w:firstLine="438" w:firstLineChars="197"/>
        <w:jc w:val="both"/>
        <w:rPr>
          <w:rFonts w:hAnsi="宋体"/>
          <w:b/>
          <w:bCs/>
          <w:color w:val="auto"/>
          <w:sz w:val="22"/>
          <w:szCs w:val="22"/>
          <w:highlight w:val="none"/>
        </w:rPr>
      </w:pPr>
      <w:r>
        <w:rPr>
          <w:rFonts w:hint="eastAsia" w:ascii="宋体" w:hAnsi="宋体" w:eastAsia="宋体" w:cs="Times New Roman"/>
          <w:color w:val="auto"/>
          <w:kern w:val="2"/>
          <w:sz w:val="22"/>
          <w:szCs w:val="22"/>
          <w:highlight w:val="none"/>
          <w:lang w:val="en-US" w:eastAsia="zh-CN" w:bidi="ar-SA"/>
        </w:rPr>
        <w:t>同时出现两种以上不一致的，按照前款规定的顺序修正。修正后的报价经投标人确认后产生约束力，投标人不确认的，其投标无效</w:t>
      </w:r>
      <w:r>
        <w:rPr>
          <w:rFonts w:hint="eastAsia" w:hAnsi="宋体"/>
          <w:b/>
          <w:bCs/>
          <w:color w:val="auto"/>
          <w:sz w:val="22"/>
          <w:szCs w:val="22"/>
          <w:highlight w:val="none"/>
        </w:rPr>
        <w:t>。</w:t>
      </w:r>
    </w:p>
    <w:p w14:paraId="04AF556F">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3CA2ED6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11A427D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403B6D0">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1FC0066B">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1029DB2B">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7A60644C">
      <w:pPr>
        <w:pStyle w:val="16"/>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w:t>
      </w:r>
    </w:p>
    <w:p w14:paraId="21FA8604">
      <w:pPr>
        <w:pStyle w:val="16"/>
        <w:adjustRightInd w:val="0"/>
        <w:spacing w:line="400" w:lineRule="exact"/>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的前提下，参与同一个采购包（标段）的供应商存在下列情形之一且无法合理解释的，其投标（响应）文件无效：</w:t>
      </w:r>
    </w:p>
    <w:p w14:paraId="09D8BC91">
      <w:pPr>
        <w:widowControl w:val="0"/>
        <w:numPr>
          <w:ilvl w:val="0"/>
          <w:numId w:val="0"/>
        </w:numPr>
        <w:adjustRightInd w:val="0"/>
        <w:spacing w:line="400" w:lineRule="exact"/>
        <w:ind w:firstLine="446" w:firstLineChars="200"/>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cs="宋体"/>
          <w:b/>
          <w:bCs/>
          <w:color w:val="auto"/>
          <w:kern w:val="0"/>
          <w:sz w:val="22"/>
          <w:szCs w:val="21"/>
          <w:highlight w:val="none"/>
          <w:u w:val="none"/>
          <w:lang w:val="en-US" w:eastAsia="zh-CN" w:bidi="ar-SA"/>
        </w:rPr>
        <w:t>（1）</w:t>
      </w:r>
      <w:r>
        <w:rPr>
          <w:rFonts w:hint="eastAsia" w:ascii="宋体" w:hAnsi="Courier New" w:cs="宋体"/>
          <w:b/>
          <w:bCs/>
          <w:color w:val="auto"/>
          <w:kern w:val="0"/>
          <w:sz w:val="22"/>
          <w:szCs w:val="21"/>
          <w:highlight w:val="none"/>
          <w:u w:val="single"/>
          <w:lang w:val="en-US" w:eastAsia="zh-CN" w:bidi="ar-SA"/>
        </w:rPr>
        <w:t>递交的</w:t>
      </w:r>
      <w:r>
        <w:rPr>
          <w:rFonts w:hint="eastAsia" w:ascii="宋体" w:hAnsi="Courier New" w:eastAsia="宋体" w:cs="宋体"/>
          <w:b/>
          <w:bCs/>
          <w:color w:val="auto"/>
          <w:kern w:val="0"/>
          <w:sz w:val="22"/>
          <w:szCs w:val="21"/>
          <w:highlight w:val="none"/>
          <w:u w:val="single"/>
          <w:lang w:val="en-US" w:eastAsia="zh-CN" w:bidi="ar-SA"/>
        </w:rPr>
        <w:t>投标（响应）文件若出现使用本项目其他投标（响应）供应商的</w:t>
      </w:r>
      <w:r>
        <w:rPr>
          <w:rFonts w:hint="eastAsia" w:ascii="宋体" w:hAnsi="Courier New" w:cs="宋体"/>
          <w:b/>
          <w:bCs/>
          <w:color w:val="auto"/>
          <w:kern w:val="0"/>
          <w:sz w:val="22"/>
          <w:szCs w:val="21"/>
          <w:highlight w:val="none"/>
          <w:u w:val="single"/>
          <w:lang w:val="en-US" w:eastAsia="zh-CN" w:bidi="ar-SA"/>
        </w:rPr>
        <w:t>公章</w:t>
      </w:r>
      <w:r>
        <w:rPr>
          <w:rFonts w:hint="eastAsia" w:ascii="宋体" w:hAnsi="Courier New" w:eastAsia="宋体" w:cs="宋体"/>
          <w:b/>
          <w:bCs/>
          <w:color w:val="auto"/>
          <w:kern w:val="0"/>
          <w:sz w:val="22"/>
          <w:szCs w:val="21"/>
          <w:highlight w:val="none"/>
          <w:u w:val="single"/>
          <w:lang w:val="en-US" w:eastAsia="zh-CN" w:bidi="ar-SA"/>
        </w:rPr>
        <w:t>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none"/>
          <w:lang w:val="en-US" w:eastAsia="zh-CN" w:bidi="ar-SA"/>
        </w:rPr>
        <w:t>（</w:t>
      </w:r>
      <w:r>
        <w:rPr>
          <w:rFonts w:hint="eastAsia" w:ascii="宋体" w:hAnsi="Courier New" w:cs="宋体"/>
          <w:b/>
          <w:bCs/>
          <w:color w:val="auto"/>
          <w:kern w:val="0"/>
          <w:sz w:val="22"/>
          <w:szCs w:val="21"/>
          <w:highlight w:val="none"/>
          <w:u w:val="none"/>
          <w:lang w:val="en-US" w:eastAsia="zh-CN" w:bidi="ar-SA"/>
        </w:rPr>
        <w:t>2</w:t>
      </w:r>
      <w:r>
        <w:rPr>
          <w:rFonts w:hint="eastAsia" w:ascii="宋体" w:hAnsi="Courier New" w:eastAsia="宋体" w:cs="宋体"/>
          <w:b/>
          <w:bCs/>
          <w:color w:val="auto"/>
          <w:kern w:val="0"/>
          <w:sz w:val="22"/>
          <w:szCs w:val="21"/>
          <w:highlight w:val="none"/>
          <w:u w:val="none"/>
          <w:lang w:val="en-US" w:eastAsia="zh-CN" w:bidi="ar-SA"/>
        </w:rPr>
        <w:t>）</w:t>
      </w:r>
      <w:r>
        <w:rPr>
          <w:rFonts w:hint="eastAsia" w:ascii="宋体" w:hAnsi="Courier New" w:eastAsia="宋体" w:cs="宋体"/>
          <w:b/>
          <w:bCs/>
          <w:color w:val="auto"/>
          <w:kern w:val="0"/>
          <w:sz w:val="22"/>
          <w:szCs w:val="21"/>
          <w:highlight w:val="none"/>
          <w:u w:val="single"/>
          <w:lang w:val="en-US" w:eastAsia="zh-CN" w:bidi="ar-SA"/>
        </w:rPr>
        <w:t>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none"/>
          <w:lang w:val="en-US" w:eastAsia="zh-CN" w:bidi="ar-SA"/>
        </w:rPr>
        <w:t>（</w:t>
      </w:r>
      <w:r>
        <w:rPr>
          <w:rFonts w:hint="eastAsia" w:ascii="宋体" w:hAnsi="Courier New" w:cs="宋体"/>
          <w:b/>
          <w:bCs/>
          <w:color w:val="auto"/>
          <w:kern w:val="0"/>
          <w:sz w:val="22"/>
          <w:szCs w:val="21"/>
          <w:highlight w:val="none"/>
          <w:u w:val="none"/>
          <w:lang w:val="en-US" w:eastAsia="zh-CN" w:bidi="ar-SA"/>
        </w:rPr>
        <w:t>3</w:t>
      </w:r>
      <w:r>
        <w:rPr>
          <w:rFonts w:hint="eastAsia" w:ascii="宋体" w:hAnsi="Courier New" w:eastAsia="宋体" w:cs="宋体"/>
          <w:b/>
          <w:bCs/>
          <w:color w:val="auto"/>
          <w:kern w:val="0"/>
          <w:sz w:val="22"/>
          <w:szCs w:val="21"/>
          <w:highlight w:val="none"/>
          <w:u w:val="none"/>
          <w:lang w:val="en-US" w:eastAsia="zh-CN" w:bidi="ar-SA"/>
        </w:rPr>
        <w:t>）</w:t>
      </w:r>
      <w:r>
        <w:rPr>
          <w:rFonts w:hint="eastAsia" w:ascii="宋体" w:hAnsi="Courier New" w:eastAsia="宋体" w:cs="宋体"/>
          <w:b/>
          <w:bCs/>
          <w:color w:val="auto"/>
          <w:kern w:val="0"/>
          <w:sz w:val="22"/>
          <w:szCs w:val="21"/>
          <w:highlight w:val="none"/>
          <w:u w:val="single"/>
          <w:lang w:val="en-US" w:eastAsia="zh-CN" w:bidi="ar-SA"/>
        </w:rPr>
        <w:t>不同供应商联系人为同一人或不同联系人的联系电话一致的。</w:t>
      </w:r>
    </w:p>
    <w:p w14:paraId="3C0E32B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6" w:name="_Toc21884_WPSOffice_Level3"/>
      <w:r>
        <w:rPr>
          <w:rFonts w:hint="eastAsia" w:hAnsi="宋体" w:cs="宋体"/>
          <w:color w:val="auto"/>
          <w:sz w:val="22"/>
          <w:highlight w:val="none"/>
        </w:rPr>
        <w:t>5.</w:t>
      </w:r>
      <w:bookmarkEnd w:id="26"/>
      <w:r>
        <w:rPr>
          <w:rFonts w:hint="eastAsia" w:hAnsi="宋体" w:cs="宋体"/>
          <w:color w:val="auto"/>
          <w:sz w:val="22"/>
          <w:highlight w:val="none"/>
        </w:rPr>
        <w:t>履约保证金</w:t>
      </w:r>
    </w:p>
    <w:p w14:paraId="49F50EC8">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dstrike w:val="0"/>
          <w:color w:val="auto"/>
          <w:sz w:val="22"/>
          <w:szCs w:val="22"/>
          <w:highlight w:val="none"/>
          <w:lang w:val="en-US" w:eastAsia="zh-CN"/>
        </w:rPr>
        <w:t>无</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根据</w:t>
      </w:r>
      <w:r>
        <w:rPr>
          <w:rFonts w:hint="eastAsia" w:ascii="宋体" w:hAnsi="宋体" w:cs="宋体"/>
          <w:color w:val="auto"/>
          <w:sz w:val="22"/>
          <w:highlight w:val="none"/>
        </w:rPr>
        <w:t>《国家计委关于印发&lt;招标代理服务收费管理暂行办法&gt;的通知》（计价格[2002]1980号）</w:t>
      </w:r>
      <w:r>
        <w:rPr>
          <w:rFonts w:hint="eastAsia" w:ascii="宋体" w:hAnsi="宋体" w:cs="宋体"/>
          <w:color w:val="auto"/>
          <w:sz w:val="22"/>
          <w:highlight w:val="none"/>
          <w:lang w:val="en-US" w:eastAsia="zh-CN"/>
        </w:rPr>
        <w:t>货物类（按预算金额）标准的80%</w:t>
      </w:r>
      <w:r>
        <w:rPr>
          <w:rFonts w:hint="eastAsia" w:ascii="宋体" w:hAnsi="宋体" w:cs="宋体"/>
          <w:color w:val="auto"/>
          <w:sz w:val="22"/>
          <w:highlight w:val="none"/>
        </w:rPr>
        <w:t>收取，账号以招标代理机构提供的为准。</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172314A">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43"/>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12"/>
        <w:rPr>
          <w:rFonts w:ascii="宋体" w:hAnsi="宋体" w:cs="宋体"/>
          <w:b/>
          <w:color w:val="auto"/>
          <w:sz w:val="32"/>
          <w:szCs w:val="32"/>
          <w:highlight w:val="none"/>
        </w:rPr>
      </w:pPr>
    </w:p>
    <w:p w14:paraId="17E3DFFE">
      <w:pPr>
        <w:jc w:val="center"/>
        <w:rPr>
          <w:rFonts w:hint="eastAsia" w:ascii="宋体" w:hAnsi="宋体" w:cs="宋体"/>
          <w:b/>
          <w:color w:val="auto"/>
          <w:sz w:val="32"/>
          <w:szCs w:val="32"/>
          <w:highlight w:val="none"/>
        </w:rPr>
      </w:pPr>
    </w:p>
    <w:p w14:paraId="348F1C7B">
      <w:pPr>
        <w:jc w:val="center"/>
        <w:rPr>
          <w:rFonts w:hint="eastAsia" w:ascii="宋体" w:hAnsi="宋体" w:cs="宋体"/>
          <w:b/>
          <w:color w:val="auto"/>
          <w:sz w:val="32"/>
          <w:szCs w:val="32"/>
          <w:highlight w:val="none"/>
        </w:rPr>
      </w:pPr>
    </w:p>
    <w:p w14:paraId="3930FF23">
      <w:pPr>
        <w:jc w:val="both"/>
        <w:rPr>
          <w:rFonts w:hint="eastAsia"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7"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cs="宋体"/>
          <w:color w:val="auto"/>
          <w:sz w:val="22"/>
          <w:szCs w:val="22"/>
          <w:highlight w:val="none"/>
          <w:lang w:val="en-US" w:eastAsia="zh-CN"/>
        </w:rPr>
        <w:t xml:space="preserve"> </w:t>
      </w:r>
      <w:r>
        <w:rPr>
          <w:rFonts w:hint="eastAsia" w:ascii="宋体" w:hAnsi="宋体" w:cs="宋体"/>
          <w:b/>
          <w:bCs/>
          <w:color w:val="auto"/>
          <w:sz w:val="22"/>
          <w:szCs w:val="22"/>
          <w:highlight w:val="none"/>
          <w:lang w:val="en-US" w:eastAsia="zh-CN"/>
        </w:rPr>
        <w:t xml:space="preserve"> </w:t>
      </w:r>
      <w:r>
        <w:rPr>
          <w:rFonts w:hint="eastAsia" w:ascii="宋体" w:hAnsi="宋体" w:cs="宋体"/>
          <w:b/>
          <w:bCs/>
          <w:color w:val="auto"/>
          <w:sz w:val="22"/>
          <w:szCs w:val="22"/>
          <w:highlight w:val="none"/>
          <w:u w:val="single"/>
          <w:lang w:val="en-US" w:eastAsia="zh-CN"/>
        </w:rPr>
        <w:t>其他未列明行业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201D8719">
      <w:pPr>
        <w:jc w:val="left"/>
        <w:rPr>
          <w:rFonts w:hint="eastAsia" w:ascii="宋体" w:hAnsi="宋体" w:eastAsia="宋体" w:cs="宋体"/>
          <w:b/>
          <w:bCs/>
          <w:color w:val="auto"/>
          <w:sz w:val="28"/>
          <w:szCs w:val="28"/>
          <w:highlight w:val="none"/>
        </w:rPr>
      </w:pPr>
    </w:p>
    <w:p w14:paraId="37B61235">
      <w:pPr>
        <w:snapToGrid w:val="0"/>
        <w:spacing w:line="360" w:lineRule="auto"/>
        <w:jc w:val="left"/>
        <w:rPr>
          <w:rFonts w:hint="eastAsia" w:ascii="Times New Roman" w:hAnsi="Times New Roman" w:eastAsia="宋体" w:cs="Times New Roman"/>
          <w:b/>
          <w:color w:val="auto"/>
          <w:sz w:val="28"/>
          <w:szCs w:val="28"/>
          <w:highlight w:val="none"/>
        </w:rPr>
      </w:pPr>
    </w:p>
    <w:p w14:paraId="253DBC9F">
      <w:pPr>
        <w:snapToGrid w:val="0"/>
        <w:spacing w:line="360" w:lineRule="auto"/>
        <w:jc w:val="left"/>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附件1</w:t>
      </w:r>
    </w:p>
    <w:p w14:paraId="6539DCE0">
      <w:pPr>
        <w:tabs>
          <w:tab w:val="left" w:pos="2352"/>
        </w:tabs>
        <w:snapToGrid w:val="0"/>
        <w:spacing w:line="360" w:lineRule="auto"/>
        <w:jc w:val="center"/>
        <w:rPr>
          <w:rFonts w:eastAsia="宋体"/>
          <w:b/>
          <w:color w:val="auto"/>
          <w:sz w:val="28"/>
          <w:szCs w:val="28"/>
          <w:highlight w:val="none"/>
        </w:rPr>
      </w:pPr>
      <w:r>
        <w:rPr>
          <w:rFonts w:hint="eastAsia" w:eastAsia="宋体"/>
          <w:b/>
          <w:color w:val="auto"/>
          <w:sz w:val="28"/>
          <w:szCs w:val="28"/>
          <w:highlight w:val="none"/>
        </w:rPr>
        <w:t>中小企业声明函（服务）</w:t>
      </w:r>
    </w:p>
    <w:p w14:paraId="4BEBFA1B">
      <w:pPr>
        <w:tabs>
          <w:tab w:val="left" w:pos="1069"/>
          <w:tab w:val="left" w:pos="2352"/>
        </w:tabs>
        <w:spacing w:line="400" w:lineRule="exact"/>
        <w:ind w:firstLine="446" w:firstLineChars="200"/>
        <w:rPr>
          <w:rFonts w:ascii="宋体" w:hAnsi="宋体" w:eastAsia="宋体" w:cs="宋体"/>
          <w:color w:val="auto"/>
          <w:sz w:val="22"/>
          <w:highlight w:val="none"/>
        </w:rPr>
      </w:pPr>
      <w:r>
        <w:rPr>
          <w:rFonts w:ascii="宋体" w:hAnsi="宋体" w:eastAsia="宋体" w:cs="宋体"/>
          <w:color w:val="auto"/>
          <w:sz w:val="22"/>
          <w:highlight w:val="none"/>
        </w:rPr>
        <w:t>本公司（联合体）郑重声明，根据《政府采购促进中小企业发展管理办法》（财库﹝2020﹞46 号）的规定，本公司 （联合体）参加</w:t>
      </w:r>
      <w:r>
        <w:rPr>
          <w:rFonts w:ascii="宋体" w:hAnsi="宋体" w:eastAsia="宋体" w:cs="宋体"/>
          <w:color w:val="auto"/>
          <w:sz w:val="22"/>
          <w:highlight w:val="none"/>
          <w:u w:val="single"/>
        </w:rPr>
        <w:t>（</w:t>
      </w:r>
      <w:r>
        <w:rPr>
          <w:rFonts w:hint="eastAsia" w:ascii="宋体" w:hAnsi="宋体" w:eastAsia="宋体" w:cs="宋体"/>
          <w:color w:val="auto"/>
          <w:sz w:val="22"/>
          <w:highlight w:val="none"/>
          <w:u w:val="single"/>
          <w:lang w:eastAsia="zh-CN"/>
        </w:rPr>
        <w:t>泰顺县人民医院（泰顺县人民医院医共体）</w:t>
      </w:r>
      <w:r>
        <w:rPr>
          <w:rFonts w:ascii="宋体" w:hAnsi="宋体" w:eastAsia="宋体" w:cs="宋体"/>
          <w:color w:val="auto"/>
          <w:sz w:val="22"/>
          <w:highlight w:val="none"/>
          <w:u w:val="single"/>
        </w:rPr>
        <w:t>）</w:t>
      </w:r>
      <w:r>
        <w:rPr>
          <w:rFonts w:ascii="宋体" w:hAnsi="宋体" w:eastAsia="宋体" w:cs="宋体"/>
          <w:color w:val="auto"/>
          <w:sz w:val="22"/>
          <w:highlight w:val="none"/>
        </w:rPr>
        <w:t>的</w:t>
      </w:r>
      <w:r>
        <w:rPr>
          <w:rFonts w:ascii="宋体" w:hAnsi="宋体" w:eastAsia="宋体" w:cs="宋体"/>
          <w:color w:val="auto"/>
          <w:sz w:val="22"/>
          <w:highlight w:val="none"/>
          <w:u w:val="single"/>
        </w:rPr>
        <w:t>（</w:t>
      </w:r>
      <w:r>
        <w:rPr>
          <w:rFonts w:hint="eastAsia" w:ascii="宋体" w:hAnsi="宋体" w:cs="宋体"/>
          <w:color w:val="auto"/>
          <w:sz w:val="22"/>
          <w:highlight w:val="none"/>
          <w:u w:val="single"/>
          <w:lang w:eastAsia="zh-CN"/>
        </w:rPr>
        <w:t>泰顺县人民医院（泰顺县人民医院医共体）检测项目外送服务</w:t>
      </w:r>
      <w:r>
        <w:rPr>
          <w:rFonts w:ascii="宋体" w:hAnsi="宋体" w:eastAsia="宋体" w:cs="宋体"/>
          <w:color w:val="auto"/>
          <w:sz w:val="22"/>
          <w:highlight w:val="none"/>
          <w:u w:val="single"/>
        </w:rPr>
        <w:t>）</w:t>
      </w:r>
      <w:r>
        <w:rPr>
          <w:rFonts w:ascii="宋体" w:hAnsi="宋体" w:eastAsia="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733724C">
      <w:pPr>
        <w:numPr>
          <w:ilvl w:val="0"/>
          <w:numId w:val="12"/>
        </w:numPr>
        <w:tabs>
          <w:tab w:val="left" w:pos="1069"/>
          <w:tab w:val="left" w:pos="2352"/>
        </w:tabs>
        <w:spacing w:line="400" w:lineRule="exact"/>
        <w:ind w:firstLine="446" w:firstLineChars="200"/>
        <w:rPr>
          <w:rFonts w:ascii="宋体" w:hAnsi="宋体" w:eastAsia="宋体" w:cs="宋体"/>
          <w:color w:val="auto"/>
          <w:sz w:val="22"/>
          <w:highlight w:val="none"/>
        </w:rPr>
      </w:pPr>
      <w:r>
        <w:rPr>
          <w:rFonts w:ascii="宋体" w:hAnsi="宋体" w:eastAsia="宋体" w:cs="宋体"/>
          <w:b/>
          <w:bCs/>
          <w:color w:val="auto"/>
          <w:sz w:val="22"/>
          <w:highlight w:val="none"/>
          <w:u w:val="single"/>
        </w:rPr>
        <w:t>（</w:t>
      </w:r>
      <w:r>
        <w:rPr>
          <w:rFonts w:hint="eastAsia" w:ascii="宋体" w:hAnsi="宋体" w:eastAsia="宋体" w:cs="宋体"/>
          <w:b/>
          <w:bCs/>
          <w:color w:val="auto"/>
          <w:sz w:val="22"/>
          <w:highlight w:val="none"/>
          <w:u w:val="single"/>
        </w:rPr>
        <w:t>标的名称</w:t>
      </w:r>
      <w:r>
        <w:rPr>
          <w:rFonts w:ascii="宋体" w:hAnsi="宋体" w:eastAsia="宋体" w:cs="宋体"/>
          <w:b/>
          <w:bCs/>
          <w:color w:val="auto"/>
          <w:sz w:val="22"/>
          <w:highlight w:val="none"/>
          <w:u w:val="single"/>
        </w:rPr>
        <w:t>）</w:t>
      </w:r>
      <w:r>
        <w:rPr>
          <w:rFonts w:ascii="宋体" w:hAnsi="宋体" w:eastAsia="宋体" w:cs="宋体"/>
          <w:b/>
          <w:bCs/>
          <w:color w:val="auto"/>
          <w:sz w:val="22"/>
          <w:highlight w:val="none"/>
        </w:rPr>
        <w:t xml:space="preserve"> </w:t>
      </w:r>
      <w:r>
        <w:rPr>
          <w:rFonts w:ascii="宋体" w:hAnsi="宋体" w:eastAsia="宋体" w:cs="宋体"/>
          <w:color w:val="auto"/>
          <w:sz w:val="22"/>
          <w:highlight w:val="none"/>
        </w:rPr>
        <w:t>，属于</w:t>
      </w:r>
      <w:r>
        <w:rPr>
          <w:rFonts w:hint="eastAsia" w:ascii="宋体" w:hAnsi="宋体" w:eastAsia="宋体" w:cs="宋体"/>
          <w:b/>
          <w:bCs/>
          <w:color w:val="auto"/>
          <w:sz w:val="22"/>
          <w:highlight w:val="none"/>
          <w:u w:val="single"/>
        </w:rPr>
        <w:t>（</w:t>
      </w:r>
      <w:r>
        <w:rPr>
          <w:rFonts w:ascii="宋体" w:hAnsi="宋体" w:eastAsia="宋体" w:cs="宋体"/>
          <w:b/>
          <w:bCs/>
          <w:color w:val="auto"/>
          <w:sz w:val="22"/>
          <w:highlight w:val="none"/>
          <w:u w:val="single"/>
        </w:rPr>
        <w:t>采购文件中明确的所属行业</w:t>
      </w:r>
      <w:r>
        <w:rPr>
          <w:rFonts w:hint="eastAsia" w:ascii="宋体" w:hAnsi="宋体" w:eastAsia="宋体" w:cs="宋体"/>
          <w:b/>
          <w:bCs/>
          <w:color w:val="auto"/>
          <w:sz w:val="22"/>
          <w:highlight w:val="none"/>
          <w:u w:val="single"/>
        </w:rPr>
        <w:t>）</w:t>
      </w:r>
      <w:r>
        <w:rPr>
          <w:rFonts w:ascii="宋体" w:hAnsi="宋体" w:eastAsia="宋体" w:cs="宋体"/>
          <w:b/>
          <w:bCs/>
          <w:color w:val="auto"/>
          <w:sz w:val="22"/>
          <w:highlight w:val="none"/>
        </w:rPr>
        <w:t>；</w:t>
      </w:r>
      <w:r>
        <w:rPr>
          <w:rFonts w:ascii="宋体" w:hAnsi="宋体" w:eastAsia="宋体" w:cs="宋体"/>
          <w:color w:val="auto"/>
          <w:sz w:val="22"/>
          <w:highlight w:val="none"/>
        </w:rPr>
        <w:t xml:space="preserve"> 承建（承接）企业为</w:t>
      </w:r>
      <w:r>
        <w:rPr>
          <w:rFonts w:ascii="宋体" w:hAnsi="宋体" w:eastAsia="宋体" w:cs="宋体"/>
          <w:color w:val="auto"/>
          <w:sz w:val="22"/>
          <w:highlight w:val="none"/>
          <w:u w:val="single"/>
        </w:rPr>
        <w:t>（企业名称）</w:t>
      </w:r>
      <w:r>
        <w:rPr>
          <w:rFonts w:ascii="宋体" w:hAnsi="宋体" w:eastAsia="宋体" w:cs="宋体"/>
          <w:color w:val="auto"/>
          <w:sz w:val="22"/>
          <w:highlight w:val="none"/>
        </w:rPr>
        <w:t>，从业人员</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人，营业收入为</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万元，资产总额为</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万元 ，属于</w:t>
      </w:r>
      <w:r>
        <w:rPr>
          <w:rFonts w:ascii="宋体" w:hAnsi="宋体" w:eastAsia="宋体" w:cs="宋体"/>
          <w:color w:val="auto"/>
          <w:sz w:val="22"/>
          <w:highlight w:val="none"/>
          <w:u w:val="single"/>
        </w:rPr>
        <w:t>（中型企业、 小型企业、微型企业）</w:t>
      </w:r>
      <w:r>
        <w:rPr>
          <w:rFonts w:ascii="宋体" w:hAnsi="宋体" w:eastAsia="宋体" w:cs="宋体"/>
          <w:color w:val="auto"/>
          <w:sz w:val="22"/>
          <w:highlight w:val="none"/>
        </w:rPr>
        <w:t xml:space="preserve">； </w:t>
      </w:r>
    </w:p>
    <w:p w14:paraId="4E009CE9">
      <w:pPr>
        <w:tabs>
          <w:tab w:val="left" w:pos="1069"/>
          <w:tab w:val="left" w:pos="2352"/>
        </w:tabs>
        <w:spacing w:line="400" w:lineRule="exact"/>
        <w:ind w:firstLine="446" w:firstLineChars="200"/>
        <w:rPr>
          <w:rFonts w:ascii="宋体" w:hAnsi="宋体" w:eastAsia="宋体" w:cs="宋体"/>
          <w:color w:val="auto"/>
          <w:sz w:val="22"/>
          <w:highlight w:val="none"/>
        </w:rPr>
      </w:pPr>
      <w:r>
        <w:rPr>
          <w:rFonts w:ascii="宋体" w:hAnsi="宋体" w:eastAsia="宋体" w:cs="宋体"/>
          <w:color w:val="auto"/>
          <w:sz w:val="22"/>
          <w:highlight w:val="none"/>
        </w:rPr>
        <w:t>2.</w:t>
      </w:r>
      <w:r>
        <w:rPr>
          <w:rFonts w:ascii="宋体" w:hAnsi="宋体" w:eastAsia="宋体" w:cs="宋体"/>
          <w:color w:val="auto"/>
          <w:sz w:val="22"/>
          <w:highlight w:val="none"/>
          <w:u w:val="single"/>
        </w:rPr>
        <w:t xml:space="preserve"> （标的名称）</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u w:val="single"/>
        </w:rPr>
        <w:t xml:space="preserve"> </w:t>
      </w:r>
      <w:r>
        <w:rPr>
          <w:rFonts w:ascii="宋体" w:hAnsi="宋体" w:eastAsia="宋体" w:cs="宋体"/>
          <w:color w:val="auto"/>
          <w:sz w:val="22"/>
          <w:highlight w:val="none"/>
        </w:rPr>
        <w:t>，属于</w:t>
      </w:r>
      <w:r>
        <w:rPr>
          <w:rFonts w:ascii="宋体" w:hAnsi="宋体" w:eastAsia="宋体" w:cs="宋体"/>
          <w:color w:val="auto"/>
          <w:sz w:val="22"/>
          <w:highlight w:val="none"/>
          <w:u w:val="single"/>
        </w:rPr>
        <w:t>（采购文件中明确的所属行业）</w:t>
      </w:r>
      <w:r>
        <w:rPr>
          <w:rFonts w:ascii="宋体" w:hAnsi="宋体" w:eastAsia="宋体" w:cs="宋体"/>
          <w:color w:val="auto"/>
          <w:sz w:val="22"/>
          <w:highlight w:val="none"/>
        </w:rPr>
        <w:t>； 承建（承接）企业为</w:t>
      </w:r>
      <w:r>
        <w:rPr>
          <w:rFonts w:ascii="宋体" w:hAnsi="宋体" w:eastAsia="宋体" w:cs="宋体"/>
          <w:color w:val="auto"/>
          <w:sz w:val="22"/>
          <w:highlight w:val="none"/>
          <w:u w:val="single"/>
        </w:rPr>
        <w:t>（企业名称）</w:t>
      </w:r>
      <w:r>
        <w:rPr>
          <w:rFonts w:ascii="宋体" w:hAnsi="宋体" w:eastAsia="宋体" w:cs="宋体"/>
          <w:color w:val="auto"/>
          <w:sz w:val="22"/>
          <w:highlight w:val="none"/>
        </w:rPr>
        <w:t>，从业人员</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 xml:space="preserve">人，营业收入为 </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万元，资产总额为</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万元，属于</w:t>
      </w:r>
      <w:r>
        <w:rPr>
          <w:rFonts w:ascii="宋体" w:hAnsi="宋体" w:eastAsia="宋体" w:cs="宋体"/>
          <w:color w:val="auto"/>
          <w:sz w:val="22"/>
          <w:highlight w:val="none"/>
          <w:u w:val="single"/>
        </w:rPr>
        <w:t>（中型企业、 小型企业、微型企业）</w:t>
      </w:r>
      <w:r>
        <w:rPr>
          <w:rFonts w:ascii="宋体" w:hAnsi="宋体" w:eastAsia="宋体" w:cs="宋体"/>
          <w:color w:val="auto"/>
          <w:sz w:val="22"/>
          <w:highlight w:val="none"/>
        </w:rPr>
        <w:t xml:space="preserve">； </w:t>
      </w:r>
    </w:p>
    <w:p w14:paraId="3FA813BE">
      <w:pPr>
        <w:tabs>
          <w:tab w:val="left" w:pos="1069"/>
          <w:tab w:val="left" w:pos="2352"/>
        </w:tabs>
        <w:spacing w:line="400" w:lineRule="exact"/>
        <w:ind w:firstLine="446" w:firstLineChars="200"/>
        <w:rPr>
          <w:rFonts w:ascii="宋体" w:hAnsi="宋体" w:eastAsia="宋体" w:cs="宋体"/>
          <w:color w:val="auto"/>
          <w:sz w:val="22"/>
          <w:highlight w:val="none"/>
        </w:rPr>
      </w:pPr>
      <w:r>
        <w:rPr>
          <w:rFonts w:ascii="宋体" w:hAnsi="宋体" w:eastAsia="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2CFA6112">
      <w:pPr>
        <w:tabs>
          <w:tab w:val="left" w:pos="1069"/>
          <w:tab w:val="left" w:pos="2352"/>
        </w:tabs>
        <w:spacing w:line="400" w:lineRule="exact"/>
        <w:ind w:firstLine="446" w:firstLineChars="200"/>
        <w:rPr>
          <w:rFonts w:ascii="宋体" w:hAnsi="宋体" w:eastAsia="宋体" w:cs="宋体"/>
          <w:color w:val="auto"/>
          <w:sz w:val="22"/>
          <w:highlight w:val="none"/>
        </w:rPr>
      </w:pPr>
      <w:r>
        <w:rPr>
          <w:rFonts w:ascii="宋体" w:hAnsi="宋体" w:eastAsia="宋体" w:cs="宋体"/>
          <w:color w:val="auto"/>
          <w:sz w:val="22"/>
          <w:highlight w:val="none"/>
        </w:rPr>
        <w:t xml:space="preserve">企业名称（盖章）： </w:t>
      </w:r>
    </w:p>
    <w:p w14:paraId="107C41B4">
      <w:pPr>
        <w:tabs>
          <w:tab w:val="left" w:pos="1069"/>
          <w:tab w:val="left" w:pos="2352"/>
        </w:tabs>
        <w:spacing w:line="400" w:lineRule="exact"/>
        <w:ind w:firstLine="446" w:firstLineChars="200"/>
        <w:rPr>
          <w:rFonts w:ascii="宋体" w:hAnsi="宋体" w:eastAsia="宋体" w:cs="宋体"/>
          <w:color w:val="auto"/>
          <w:sz w:val="22"/>
          <w:highlight w:val="none"/>
        </w:rPr>
      </w:pPr>
      <w:r>
        <w:rPr>
          <w:rFonts w:ascii="宋体" w:hAnsi="宋体" w:eastAsia="宋体" w:cs="宋体"/>
          <w:color w:val="auto"/>
          <w:sz w:val="22"/>
          <w:highlight w:val="none"/>
        </w:rPr>
        <w:t>日 期：</w:t>
      </w:r>
    </w:p>
    <w:p w14:paraId="0EDD59CE">
      <w:pPr>
        <w:spacing w:line="440" w:lineRule="atLeast"/>
        <w:jc w:val="left"/>
        <w:rPr>
          <w:rFonts w:ascii="宋体" w:hAnsi="宋体" w:eastAsia="宋体" w:cs="宋体"/>
          <w:color w:val="auto"/>
          <w:sz w:val="22"/>
          <w:highlight w:val="none"/>
        </w:rPr>
      </w:pPr>
    </w:p>
    <w:p w14:paraId="315205C3">
      <w:pPr>
        <w:widowControl w:val="0"/>
        <w:jc w:val="both"/>
        <w:rPr>
          <w:rFonts w:ascii="Calibri" w:hAnsi="Calibri" w:eastAsia="宋体" w:cs="黑体"/>
          <w:color w:val="auto"/>
          <w:kern w:val="2"/>
          <w:sz w:val="21"/>
          <w:szCs w:val="24"/>
          <w:highlight w:val="none"/>
          <w:lang w:val="en-US" w:eastAsia="zh-CN" w:bidi="ar-SA"/>
        </w:rPr>
      </w:pPr>
    </w:p>
    <w:p w14:paraId="0854CA1B">
      <w:pPr>
        <w:spacing w:line="440" w:lineRule="atLeast"/>
        <w:jc w:val="left"/>
        <w:rPr>
          <w:rFonts w:ascii="宋体" w:hAnsi="宋体" w:eastAsia="宋体" w:cs="宋体"/>
          <w:color w:val="auto"/>
          <w:sz w:val="22"/>
          <w:highlight w:val="none"/>
        </w:rPr>
      </w:pPr>
      <w:r>
        <w:rPr>
          <w:rFonts w:hint="eastAsia" w:ascii="宋体" w:hAnsi="宋体" w:eastAsia="宋体" w:cs="宋体"/>
          <w:color w:val="auto"/>
          <w:sz w:val="22"/>
          <w:highlight w:val="none"/>
        </w:rPr>
        <w:t>填写说明：</w:t>
      </w:r>
    </w:p>
    <w:p w14:paraId="27078E31">
      <w:pPr>
        <w:spacing w:line="440" w:lineRule="atLeast"/>
        <w:jc w:val="left"/>
        <w:rPr>
          <w:rFonts w:ascii="宋体" w:hAnsi="宋体" w:eastAsia="宋体" w:cs="宋体"/>
          <w:color w:val="auto"/>
          <w:sz w:val="22"/>
          <w:highlight w:val="none"/>
        </w:rPr>
      </w:pPr>
      <w:r>
        <w:rPr>
          <w:rFonts w:hint="eastAsia" w:ascii="宋体" w:hAnsi="宋体" w:eastAsia="宋体" w:cs="宋体"/>
          <w:color w:val="auto"/>
          <w:sz w:val="22"/>
          <w:highlight w:val="none"/>
        </w:rPr>
        <w:t>（1）从业人员、营业收入、资产总额填报上一年度数据，无上一年度数据的新成立企业可不填报。采购人或采购代理机构有可能在中标、成交结果公开中标、成交供应商的《中小企业声明函》。</w:t>
      </w:r>
    </w:p>
    <w:p w14:paraId="40FFA5FF">
      <w:pPr>
        <w:spacing w:line="440" w:lineRule="atLeast"/>
        <w:jc w:val="left"/>
        <w:rPr>
          <w:rFonts w:ascii="宋体" w:hAnsi="宋体" w:eastAsia="宋体" w:cs="宋体"/>
          <w:color w:val="auto"/>
          <w:sz w:val="22"/>
          <w:highlight w:val="none"/>
        </w:rPr>
      </w:pPr>
      <w:r>
        <w:rPr>
          <w:rFonts w:hint="eastAsia" w:ascii="宋体" w:hAnsi="宋体" w:eastAsia="宋体" w:cs="宋体"/>
          <w:color w:val="auto"/>
          <w:sz w:val="22"/>
          <w:highlight w:val="none"/>
        </w:rPr>
        <w:t>（2）▲投标人提供的中小企业声明函与实际情况不符的，视为投标人提供虚假材料投标的，投标无效。</w:t>
      </w:r>
    </w:p>
    <w:p w14:paraId="60A6C8F1">
      <w:pPr>
        <w:widowControl w:val="0"/>
        <w:numPr>
          <w:ilvl w:val="2"/>
          <w:numId w:val="0"/>
        </w:numPr>
        <w:spacing w:line="312" w:lineRule="auto"/>
        <w:ind w:left="1140" w:firstLine="420"/>
        <w:jc w:val="both"/>
        <w:rPr>
          <w:rFonts w:ascii="Calibri" w:hAnsi="Calibri" w:eastAsia="宋体" w:cs="黑体"/>
          <w:color w:val="auto"/>
          <w:kern w:val="2"/>
          <w:sz w:val="21"/>
          <w:szCs w:val="24"/>
          <w:highlight w:val="none"/>
          <w:lang w:val="en-US" w:eastAsia="zh-CN" w:bidi="ar-SA"/>
        </w:rPr>
      </w:pPr>
    </w:p>
    <w:p w14:paraId="01C248E7">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4354C256">
      <w:pPr>
        <w:snapToGrid w:val="0"/>
        <w:spacing w:line="360" w:lineRule="auto"/>
        <w:jc w:val="left"/>
        <w:rPr>
          <w:rFonts w:ascii="Times New Roman" w:hAnsi="Times New Roman" w:cs="Times New Roman"/>
          <w:b/>
          <w:color w:val="auto"/>
          <w:sz w:val="28"/>
          <w:szCs w:val="28"/>
          <w:highlight w:val="none"/>
        </w:rPr>
      </w:pPr>
    </w:p>
    <w:p w14:paraId="5FF8E3F5">
      <w:pPr>
        <w:snapToGrid w:val="0"/>
        <w:spacing w:line="360" w:lineRule="auto"/>
        <w:jc w:val="left"/>
        <w:rPr>
          <w:rFonts w:hint="eastAsia"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7"/>
    <w:p w14:paraId="54B1DBA8">
      <w:pPr>
        <w:pStyle w:val="49"/>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69"/>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69"/>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69"/>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69"/>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69"/>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69"/>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69"/>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69"/>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69"/>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69"/>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69"/>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69"/>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69"/>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69"/>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18A485A">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53DD4488">
      <w:pPr>
        <w:spacing w:line="420" w:lineRule="atLeast"/>
        <w:ind w:firstLine="446" w:firstLineChars="200"/>
        <w:rPr>
          <w:rFonts w:hint="eastAsia" w:ascii="宋体"/>
          <w:b/>
          <w:bCs/>
          <w:color w:val="auto"/>
          <w:sz w:val="22"/>
          <w:highlight w:val="none"/>
          <w:u w:val="single"/>
        </w:rPr>
      </w:pPr>
    </w:p>
    <w:p w14:paraId="4CCE89EA">
      <w:pPr>
        <w:widowControl w:val="0"/>
        <w:spacing w:line="360" w:lineRule="auto"/>
        <w:jc w:val="both"/>
        <w:rPr>
          <w:rFonts w:hint="eastAsia"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rPr>
        <w:t>甲方：</w:t>
      </w:r>
      <w:r>
        <w:rPr>
          <w:rFonts w:hint="eastAsia" w:ascii="宋体" w:hAnsi="宋体" w:eastAsia="宋体" w:cs="Times New Roman"/>
          <w:b/>
          <w:color w:val="auto"/>
          <w:kern w:val="2"/>
          <w:sz w:val="21"/>
          <w:szCs w:val="21"/>
          <w:highlight w:val="none"/>
          <w:u w:val="single"/>
        </w:rPr>
        <w:t>泰顺县人民医院（泰顺县人民医院医共体）</w:t>
      </w:r>
    </w:p>
    <w:p w14:paraId="2EDBFC22">
      <w:pPr>
        <w:widowControl w:val="0"/>
        <w:spacing w:line="360" w:lineRule="auto"/>
        <w:ind w:left="-547" w:leftChars="-257" w:right="-519" w:rightChars="-244" w:firstLine="521" w:firstLineChars="245"/>
        <w:jc w:val="both"/>
        <w:rPr>
          <w:rFonts w:hint="eastAsia" w:ascii="宋体" w:hAnsi="宋体" w:eastAsia="宋体" w:cs="Times New Roman"/>
          <w:b/>
          <w:bCs/>
          <w:color w:val="auto"/>
          <w:kern w:val="2"/>
          <w:sz w:val="21"/>
          <w:szCs w:val="21"/>
          <w:highlight w:val="none"/>
          <w:u w:val="single"/>
        </w:rPr>
      </w:pPr>
      <w:r>
        <w:rPr>
          <w:rFonts w:hint="eastAsia" w:ascii="宋体" w:hAnsi="宋体" w:eastAsia="宋体" w:cs="Times New Roman"/>
          <w:b/>
          <w:color w:val="auto"/>
          <w:kern w:val="2"/>
          <w:sz w:val="21"/>
          <w:szCs w:val="21"/>
          <w:highlight w:val="none"/>
        </w:rPr>
        <w:t>乙方：</w:t>
      </w:r>
      <w:r>
        <w:rPr>
          <w:rFonts w:hint="eastAsia" w:eastAsia="宋体" w:cs="Times New Roman"/>
          <w:b/>
          <w:bCs/>
          <w:color w:val="auto"/>
          <w:kern w:val="2"/>
          <w:sz w:val="21"/>
          <w:szCs w:val="21"/>
          <w:highlight w:val="none"/>
          <w:u w:val="single"/>
          <w:lang w:val="en-US" w:eastAsia="zh-CN"/>
        </w:rPr>
        <w:t>本次中标供应商</w:t>
      </w:r>
      <w:r>
        <w:rPr>
          <w:rFonts w:hint="eastAsia" w:ascii="宋体" w:hAnsi="宋体" w:eastAsia="宋体" w:cs="Times New Roman"/>
          <w:b/>
          <w:bCs/>
          <w:color w:val="auto"/>
          <w:kern w:val="2"/>
          <w:sz w:val="21"/>
          <w:szCs w:val="21"/>
          <w:highlight w:val="none"/>
        </w:rPr>
        <w:t xml:space="preserve">    </w:t>
      </w:r>
    </w:p>
    <w:p w14:paraId="10779E3D">
      <w:pPr>
        <w:widowControl w:val="0"/>
        <w:snapToGrid w:val="0"/>
        <w:spacing w:line="360" w:lineRule="auto"/>
        <w:ind w:right="48" w:rightChars="23"/>
        <w:jc w:val="both"/>
        <w:rPr>
          <w:rFonts w:hint="eastAsia" w:ascii="宋体" w:hAnsi="宋体" w:eastAsia="宋体" w:cs="Times New Roman"/>
          <w:color w:val="auto"/>
          <w:kern w:val="2"/>
          <w:sz w:val="21"/>
          <w:szCs w:val="21"/>
          <w:highlight w:val="none"/>
        </w:rPr>
      </w:pPr>
    </w:p>
    <w:p w14:paraId="092FA600">
      <w:pPr>
        <w:widowControl w:val="0"/>
        <w:snapToGrid w:val="0"/>
        <w:spacing w:line="360" w:lineRule="auto"/>
        <w:ind w:right="48" w:rightChars="23" w:firstLine="426"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招标编号为</w:t>
      </w:r>
      <w:r>
        <w:rPr>
          <w:rFonts w:hint="eastAsia" w:ascii="宋体" w:hAnsi="宋体" w:eastAsia="宋体" w:cs="Times New Roman"/>
          <w:color w:val="auto"/>
          <w:kern w:val="2"/>
          <w:sz w:val="21"/>
          <w:szCs w:val="21"/>
          <w:highlight w:val="none"/>
          <w:u w:val="single"/>
        </w:rPr>
        <w:t xml:space="preserve"> </w:t>
      </w:r>
      <w:r>
        <w:rPr>
          <w:rFonts w:hint="eastAsia" w:cs="Times New Roman"/>
          <w:color w:val="auto"/>
          <w:kern w:val="2"/>
          <w:sz w:val="21"/>
          <w:szCs w:val="21"/>
          <w:highlight w:val="none"/>
          <w:u w:val="single"/>
          <w:lang w:val="en-US" w:eastAsia="zh-CN"/>
        </w:rPr>
        <w:t>TSCG202511008</w:t>
      </w:r>
      <w:r>
        <w:rPr>
          <w:rFonts w:hint="eastAsia" w:ascii="宋体" w:hAnsi="宋体" w:eastAsia="宋体" w:cs="Times New Roman"/>
          <w:color w:val="auto"/>
          <w:kern w:val="2"/>
          <w:sz w:val="21"/>
          <w:szCs w:val="21"/>
          <w:highlight w:val="none"/>
        </w:rPr>
        <w:t>的</w:t>
      </w:r>
      <w:r>
        <w:rPr>
          <w:rFonts w:hint="eastAsia" w:ascii="宋体" w:hAnsi="宋体" w:cs="Times New Roman"/>
          <w:color w:val="auto"/>
          <w:kern w:val="2"/>
          <w:sz w:val="21"/>
          <w:szCs w:val="21"/>
          <w:highlight w:val="none"/>
          <w:u w:val="single"/>
          <w:lang w:eastAsia="zh-CN"/>
        </w:rPr>
        <w:t>泰顺县人民医院（泰顺县人民医院医共体）检测项目外送服务</w:t>
      </w:r>
      <w:r>
        <w:rPr>
          <w:rFonts w:hint="eastAsia" w:ascii="宋体" w:hAnsi="宋体" w:eastAsia="宋体" w:cs="Times New Roman"/>
          <w:color w:val="auto"/>
          <w:kern w:val="2"/>
          <w:sz w:val="21"/>
          <w:szCs w:val="21"/>
          <w:highlight w:val="none"/>
        </w:rPr>
        <w:t>经公开招标采购，现确定乙方为该项目的</w:t>
      </w:r>
      <w:r>
        <w:rPr>
          <w:rFonts w:hint="eastAsia" w:eastAsia="宋体" w:cs="Times New Roman"/>
          <w:color w:val="auto"/>
          <w:kern w:val="2"/>
          <w:sz w:val="21"/>
          <w:szCs w:val="21"/>
          <w:highlight w:val="none"/>
          <w:lang w:val="en-US" w:eastAsia="zh-CN"/>
        </w:rPr>
        <w:t>服务</w:t>
      </w:r>
      <w:r>
        <w:rPr>
          <w:rFonts w:hint="eastAsia" w:ascii="宋体" w:hAnsi="宋体" w:eastAsia="宋体" w:cs="Times New Roman"/>
          <w:color w:val="auto"/>
          <w:kern w:val="2"/>
          <w:sz w:val="21"/>
          <w:szCs w:val="21"/>
          <w:highlight w:val="none"/>
        </w:rPr>
        <w:t>单位，经双方确认，达成以下合同条款：</w:t>
      </w:r>
    </w:p>
    <w:p w14:paraId="7233D4DA">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甲乙双方经友好协商就标本检验业务事宜达成一致，特签订本协议，以兹共同遵守。</w:t>
      </w:r>
    </w:p>
    <w:p w14:paraId="69CA5B4E">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一、委托方式：</w:t>
      </w:r>
    </w:p>
    <w:p w14:paraId="0572E662">
      <w:pPr>
        <w:widowControl w:val="0"/>
        <w:snapToGrid w:val="0"/>
        <w:spacing w:line="360" w:lineRule="auto"/>
        <w:ind w:firstLine="426" w:firstLineChars="200"/>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甲方将</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标本委托给乙方进行检验；乙方为甲方提供检验报告，并收取甲方检验服务费。</w:t>
      </w:r>
      <w:r>
        <w:rPr>
          <w:rFonts w:hint="eastAsia" w:eastAsia="宋体" w:cs="宋体"/>
          <w:color w:val="auto"/>
          <w:kern w:val="2"/>
          <w:sz w:val="21"/>
          <w:szCs w:val="21"/>
          <w:highlight w:val="none"/>
          <w:lang w:eastAsia="zh-CN"/>
        </w:rPr>
        <w:t>（</w:t>
      </w:r>
      <w:r>
        <w:rPr>
          <w:rFonts w:hint="eastAsia" w:eastAsia="宋体" w:cs="宋体"/>
          <w:color w:val="auto"/>
          <w:kern w:val="2"/>
          <w:sz w:val="21"/>
          <w:szCs w:val="21"/>
          <w:highlight w:val="none"/>
          <w:lang w:val="en-US" w:eastAsia="zh-CN"/>
        </w:rPr>
        <w:t>详见清单</w:t>
      </w:r>
      <w:r>
        <w:rPr>
          <w:rFonts w:hint="eastAsia" w:eastAsia="宋体" w:cs="宋体"/>
          <w:color w:val="auto"/>
          <w:kern w:val="2"/>
          <w:sz w:val="21"/>
          <w:szCs w:val="21"/>
          <w:highlight w:val="none"/>
          <w:lang w:eastAsia="zh-CN"/>
        </w:rPr>
        <w:t>）</w:t>
      </w:r>
    </w:p>
    <w:p w14:paraId="2CA21E34">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二、委托期限：</w:t>
      </w:r>
    </w:p>
    <w:p w14:paraId="4DD6C8D1">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委托期限为自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日至</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日，为期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个月。</w:t>
      </w:r>
    </w:p>
    <w:p w14:paraId="54061C80">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宋体" w:eastAsia="宋体" w:cs="宋体"/>
          <w:b/>
          <w:color w:val="auto"/>
          <w:kern w:val="2"/>
          <w:sz w:val="21"/>
          <w:szCs w:val="21"/>
          <w:highlight w:val="none"/>
        </w:rPr>
      </w:pPr>
      <w:r>
        <w:rPr>
          <w:rFonts w:hint="eastAsia" w:eastAsia="宋体"/>
          <w:color w:val="auto"/>
          <w:sz w:val="22"/>
          <w:szCs w:val="22"/>
          <w:highlight w:val="none"/>
          <w:lang w:val="en-US" w:eastAsia="zh-CN"/>
        </w:rPr>
        <w:t>本项目</w:t>
      </w:r>
      <w:r>
        <w:rPr>
          <w:rFonts w:hint="eastAsia" w:eastAsia="宋体"/>
          <w:color w:val="auto"/>
          <w:sz w:val="22"/>
          <w:szCs w:val="22"/>
          <w:highlight w:val="none"/>
        </w:rPr>
        <w:t>采用1+1+1形式，每年度期满后采购人根据本年实际管理考核情况，若采购人对中标供应商的服务满意，经同意后续签合同，续签期限为1年，累计签订合同期限不得超过3年。</w:t>
      </w:r>
      <w:r>
        <w:rPr>
          <w:rFonts w:hint="eastAsia" w:ascii="宋体" w:hAnsi="宋体" w:eastAsia="宋体" w:cs="宋体"/>
          <w:color w:val="auto"/>
          <w:sz w:val="22"/>
          <w:szCs w:val="22"/>
          <w:highlight w:val="none"/>
          <w:shd w:val="clear" w:color="auto" w:fill="FFFFFF"/>
        </w:rPr>
        <w:t>当合同期限1年到期或累计金额达到预算金额，即视为</w:t>
      </w:r>
      <w:r>
        <w:rPr>
          <w:rFonts w:hint="eastAsia" w:ascii="宋体" w:hAnsi="宋体" w:eastAsia="宋体" w:cs="宋体"/>
          <w:color w:val="auto"/>
          <w:sz w:val="22"/>
          <w:szCs w:val="22"/>
          <w:highlight w:val="none"/>
          <w:shd w:val="clear" w:color="auto" w:fill="FFFFFF"/>
          <w:lang w:val="en-US" w:eastAsia="zh-CN"/>
        </w:rPr>
        <w:t>当年的</w:t>
      </w:r>
      <w:r>
        <w:rPr>
          <w:rFonts w:hint="eastAsia" w:ascii="宋体" w:hAnsi="宋体" w:eastAsia="宋体" w:cs="宋体"/>
          <w:color w:val="auto"/>
          <w:sz w:val="22"/>
          <w:szCs w:val="22"/>
          <w:highlight w:val="none"/>
          <w:shd w:val="clear" w:color="auto" w:fill="FFFFFF"/>
        </w:rPr>
        <w:t>合同完全履行完毕，按先达到的条件认定</w:t>
      </w:r>
      <w:r>
        <w:rPr>
          <w:rFonts w:hint="eastAsia" w:ascii="宋体" w:hAnsi="宋体" w:eastAsia="宋体" w:cs="宋体"/>
          <w:color w:val="auto"/>
          <w:sz w:val="22"/>
          <w:szCs w:val="22"/>
          <w:highlight w:val="none"/>
          <w:shd w:val="clear" w:color="auto" w:fill="FFFFFF"/>
          <w:lang w:eastAsia="zh-CN"/>
        </w:rPr>
        <w:t>。</w:t>
      </w:r>
    </w:p>
    <w:p w14:paraId="7B1AE1ED">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三、委托范围：</w:t>
      </w:r>
    </w:p>
    <w:p w14:paraId="47DC8ECF">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委托范围为：甲方检验科外送检测</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项目。</w:t>
      </w:r>
    </w:p>
    <w:p w14:paraId="69B77CD4">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四、双方的权利与义务：</w:t>
      </w:r>
    </w:p>
    <w:p w14:paraId="38C92FFD">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（一）甲方的权利义务</w:t>
      </w:r>
    </w:p>
    <w:p w14:paraId="48B5CB21">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1、甲方负责收集样本，对标本来源的合法性、准确性和完整性负责，确保样本信息与检验申请单的信息相符。甲方未履行上述职责导致乙方出具的检验报告错误或检验报告与患者不符的责任由甲方承担。</w:t>
      </w:r>
    </w:p>
    <w:p w14:paraId="0D73DC15">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2、甲方负责组织医务人员按照乙方提供的《项目总汇与采样手册》（以乙方提供的最新版本为准）中的要求和规定同乙方进行检验委托服务。</w:t>
      </w:r>
    </w:p>
    <w:p w14:paraId="34232FB4">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甲方同意将委托范围内的检验项目交给乙方检验，并按乙方所提供《项目总汇与采样手册》内容所列的方法和方式正确填写申请单信息，标本采集、处理和保存送检样本，并应尽到告知其委托方（如患者）相关检验项目的风险义务。</w:t>
      </w:r>
    </w:p>
    <w:p w14:paraId="344E4B9B">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4、甲乙双方工作人员有责任在以下环节进行签字确认：标本交接、耗材交接、特殊物品回执交接、其他物品交接、报告单交接、结算票据、发票签收回执的交接。</w:t>
      </w:r>
    </w:p>
    <w:p w14:paraId="46099467">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5、甲方对在本协议有效期内从乙方知悉的关于乙方的经营信息、检验技术信息等一切非公开的保密信息负有保密义务，保密期限为三年。未经乙方书面同意，甲方不得将上述信息泄露给任何第三方。</w:t>
      </w:r>
    </w:p>
    <w:p w14:paraId="2F1CBA41">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6、甲方委托乙方对大量体检项目标本和科研项目标本进行检验的，需提前通知乙方，以便乙方提前做好检验准备。</w:t>
      </w:r>
    </w:p>
    <w:p w14:paraId="3899058F">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7、甲方应配合支持乙方系统与甲方信息系统对接，涉及的具体内容如有必要双方再另行签署相关协议。</w:t>
      </w:r>
    </w:p>
    <w:p w14:paraId="7B255211">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（二）乙方的权利义务</w:t>
      </w:r>
    </w:p>
    <w:p w14:paraId="4582E6F2">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1、乙方每日（包含节假日）按甲方要求时间到甲方处收取标本。</w:t>
      </w:r>
    </w:p>
    <w:p w14:paraId="4C4FCC06">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甲方按乙方《项目总汇与采样手册》（包括其修改版，作为附件并视为本协议不可分割的一个部分）上所述各项目的要求，包括样品的状态、数量及检验方法的说明，进行采集样本，并应将病人的常规个人资料、临床诊断、医生和院方必要信息、特殊要求在申请单上填明。甲方如果不按乙方要求取样的，乙方可以拒收并要求甲方三天内重新采样。</w:t>
      </w:r>
    </w:p>
    <w:p w14:paraId="25279049">
      <w:pPr>
        <w:widowControl/>
        <w:shd w:val="clear" w:color="auto" w:fill="FFFFFF"/>
        <w:spacing w:line="360" w:lineRule="auto"/>
        <w:ind w:firstLine="426"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3、乙方保证按国家检验规范进行操作，并对标本的检验报告承担相应的责任。因乙方原因导致检验报告错误引起的医疗纠纷责任由乙方承担，对患方的所有赔（补）偿费用完全由乙方支付。</w:t>
      </w:r>
    </w:p>
    <w:p w14:paraId="3D4B3076">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4、乙方有为甲方保密的义务，在未经甲方同意或授权前提下，乙方不得向甲方检验科室、医务科、临床科室工作人员以外的任何单位或个人泄露甲方委托检验的项目、检验的内容、检验的结果。</w:t>
      </w:r>
    </w:p>
    <w:p w14:paraId="6581EC4D">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5、乙方如需召回检验报告单，应及时通过一切形式包括电话、邮寄、传真、电子邮件、当面告知等方式通知甲方召回检验报告并通过上述形式提供新的检验报告。</w:t>
      </w:r>
    </w:p>
    <w:p w14:paraId="4C13DDC3">
      <w:pPr>
        <w:widowControl w:val="0"/>
        <w:spacing w:line="360" w:lineRule="auto"/>
        <w:ind w:firstLine="426"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6、项目应在医院认可的品牌设备上检测，当天下午</w:t>
      </w:r>
      <w:r>
        <w:rPr>
          <w:rFonts w:hint="default"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rPr>
        <w:t>6：3</w:t>
      </w:r>
      <w:r>
        <w:rPr>
          <w:rFonts w:hint="default" w:ascii="宋体" w:hAnsi="宋体" w:eastAsia="宋体" w:cs="宋体"/>
          <w:color w:val="auto"/>
          <w:kern w:val="2"/>
          <w:sz w:val="21"/>
          <w:szCs w:val="21"/>
          <w:highlight w:val="none"/>
        </w:rPr>
        <w:t>0</w:t>
      </w:r>
      <w:r>
        <w:rPr>
          <w:rFonts w:hint="eastAsia" w:ascii="宋体" w:hAnsi="宋体" w:eastAsia="宋体" w:cs="宋体"/>
          <w:color w:val="auto"/>
          <w:kern w:val="2"/>
          <w:sz w:val="21"/>
          <w:szCs w:val="21"/>
          <w:highlight w:val="none"/>
        </w:rPr>
        <w:t>之前采集的标本，3天内将检验结果传入医院系统。</w:t>
      </w:r>
    </w:p>
    <w:p w14:paraId="3A61D750">
      <w:pPr>
        <w:widowControl/>
        <w:shd w:val="clear" w:color="auto" w:fill="FFFFFF"/>
        <w:spacing w:line="360" w:lineRule="auto"/>
        <w:ind w:firstLine="426" w:firstLineChars="200"/>
        <w:jc w:val="both"/>
        <w:rPr>
          <w:rFonts w:hint="eastAsia" w:ascii="宋体" w:hAnsi="宋体" w:eastAsia="宋体" w:cs="Arial"/>
          <w:bCs/>
          <w:color w:val="auto"/>
          <w:kern w:val="0"/>
          <w:sz w:val="21"/>
          <w:szCs w:val="21"/>
          <w:highlight w:val="none"/>
        </w:rPr>
      </w:pPr>
      <w:r>
        <w:rPr>
          <w:rFonts w:hint="eastAsia" w:ascii="宋体" w:hAnsi="宋体" w:eastAsia="宋体" w:cs="宋体"/>
          <w:color w:val="auto"/>
          <w:kern w:val="2"/>
          <w:sz w:val="21"/>
          <w:szCs w:val="21"/>
          <w:highlight w:val="none"/>
        </w:rPr>
        <w:t>7、乙方对甲方所有外送标本生物安全负责。</w:t>
      </w:r>
    </w:p>
    <w:p w14:paraId="205DF16F">
      <w:pPr>
        <w:widowControl/>
        <w:shd w:val="clear" w:color="auto" w:fill="FFFFFF"/>
        <w:spacing w:line="360" w:lineRule="auto"/>
        <w:ind w:firstLine="426"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8、乙方要做好与甲方相关科室的信息双向对接，同时负责提供相应软硬件服务，按相关科室意见加以改进，并需在合同规定期限内完成安装、调试。</w:t>
      </w:r>
    </w:p>
    <w:p w14:paraId="23C97364">
      <w:pPr>
        <w:widowControl w:val="0"/>
        <w:spacing w:line="360" w:lineRule="auto"/>
        <w:ind w:firstLine="426"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甲方将不定期组织专家至乙方现场检查、督导并查看试剂、设备等采购相关台账，如发现乙方存在提供虚假信息或未经院方同意私自更改使用试剂的品牌和检验项目的方法学等现象，甲方有权立即终止合同，乙方需按已做项目已收金额标准赔偿院方，并承担所有相关违约责任。</w:t>
      </w:r>
    </w:p>
    <w:p w14:paraId="606A179C">
      <w:pPr>
        <w:widowControl w:val="0"/>
        <w:spacing w:line="360" w:lineRule="auto"/>
        <w:ind w:firstLine="426"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10、</w:t>
      </w:r>
      <w:r>
        <w:rPr>
          <w:rFonts w:hint="default" w:ascii="宋体" w:hAnsi="宋体" w:eastAsia="宋体" w:cs="宋体"/>
          <w:color w:val="auto"/>
          <w:kern w:val="0"/>
          <w:sz w:val="21"/>
          <w:szCs w:val="21"/>
          <w:highlight w:val="none"/>
        </w:rPr>
        <w:t>乙方不得以任何形式对检验单进行统方及检验相关数据的统计。如需根据外送检验相关数据发表论文或进行其他学术活动，需事先征得甲方同意。</w:t>
      </w:r>
    </w:p>
    <w:p w14:paraId="04702561">
      <w:pPr>
        <w:widowControl w:val="0"/>
        <w:spacing w:line="360" w:lineRule="auto"/>
        <w:ind w:firstLine="426"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11、合同期内乙方如未按甲方要求准时出具检测结果，甲方有权要求乙方整改，如整改后仍出现未按时出具检测结果5次以上，甲方有权终止本合同。</w:t>
      </w:r>
    </w:p>
    <w:p w14:paraId="1F2B3075">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color w:val="auto"/>
          <w:kern w:val="2"/>
          <w:sz w:val="21"/>
          <w:szCs w:val="21"/>
          <w:highlight w:val="none"/>
        </w:rPr>
        <w:t>五、检验费用：</w:t>
      </w:r>
    </w:p>
    <w:p w14:paraId="26D603ED">
      <w:pPr>
        <w:widowControl w:val="0"/>
        <w:spacing w:line="360" w:lineRule="auto"/>
        <w:ind w:firstLine="426"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1、甲方负责向病人收取病人检验费，而乙方按照医院执行的</w:t>
      </w:r>
      <w:r>
        <w:rPr>
          <w:rFonts w:hint="eastAsia" w:ascii="宋体" w:hAnsi="Courier New" w:eastAsia="宋体" w:cs="Times New Roman"/>
          <w:color w:val="auto"/>
          <w:kern w:val="2"/>
          <w:sz w:val="21"/>
          <w:szCs w:val="21"/>
          <w:highlight w:val="none"/>
          <w:lang w:val="en-US" w:eastAsia="zh-CN" w:bidi="ar-SA"/>
        </w:rPr>
        <w:t>温州市公立医院医疗服务收费价格标准（2022）</w:t>
      </w:r>
      <w:r>
        <w:rPr>
          <w:rFonts w:hint="eastAsia" w:ascii="宋体" w:hAnsi="宋体" w:eastAsia="宋体" w:cs="宋体"/>
          <w:color w:val="auto"/>
          <w:kern w:val="2"/>
          <w:sz w:val="21"/>
          <w:szCs w:val="21"/>
          <w:highlight w:val="none"/>
          <w:lang w:val="en-US" w:eastAsia="zh-CN" w:bidi="ar-SA"/>
        </w:rPr>
        <w:t>收费比例向甲方收取委托检验服务费</w:t>
      </w:r>
      <w:r>
        <w:rPr>
          <w:rFonts w:hint="eastAsia" w:ascii="宋体" w:hAnsi="宋体" w:eastAsia="宋体" w:cs="Times New Roman"/>
          <w:color w:val="auto"/>
          <w:kern w:val="2"/>
          <w:sz w:val="22"/>
          <w:szCs w:val="22"/>
          <w:highlight w:val="none"/>
          <w:lang w:val="en-US" w:eastAsia="zh-CN" w:bidi="ar-SA"/>
        </w:rPr>
        <w:t>（如有最新标准则按最新标准执行，折扣率不变）</w:t>
      </w:r>
      <w:r>
        <w:rPr>
          <w:rFonts w:hint="eastAsia" w:ascii="宋体" w:hAnsi="宋体" w:eastAsia="宋体" w:cs="宋体"/>
          <w:color w:val="auto"/>
          <w:kern w:val="2"/>
          <w:sz w:val="21"/>
          <w:szCs w:val="21"/>
          <w:highlight w:val="none"/>
          <w:lang w:val="en-US" w:eastAsia="zh-CN" w:bidi="ar-SA"/>
        </w:rPr>
        <w:t>：</w:t>
      </w:r>
    </w:p>
    <w:p w14:paraId="5A7B17B2">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中标折扣率</w:t>
      </w:r>
      <w:r>
        <w:rPr>
          <w:rFonts w:hint="eastAsia" w:ascii="宋体" w:hAnsi="宋体" w:eastAsia="宋体" w:cs="宋体"/>
          <w:color w:val="auto"/>
          <w:kern w:val="2"/>
          <w:sz w:val="21"/>
          <w:szCs w:val="21"/>
          <w:highlight w:val="none"/>
        </w:rPr>
        <w:t>为：</w:t>
      </w:r>
      <w:r>
        <w:rPr>
          <w:rFonts w:hint="eastAsia" w:ascii="宋体" w:hAnsi="宋体" w:eastAsia="宋体" w:cs="宋体"/>
          <w:color w:val="auto"/>
          <w:kern w:val="2"/>
          <w:sz w:val="21"/>
          <w:szCs w:val="21"/>
          <w:highlight w:val="none"/>
          <w:u w:val="single"/>
        </w:rPr>
        <w:t xml:space="preserve">   </w:t>
      </w:r>
      <w:r>
        <w:rPr>
          <w:rFonts w:hint="default"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727634A6">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六、付款方式：</w:t>
      </w:r>
    </w:p>
    <w:p w14:paraId="0F9EA07D">
      <w:pPr>
        <w:widowControl w:val="0"/>
        <w:snapToGrid w:val="0"/>
        <w:spacing w:line="360" w:lineRule="auto"/>
        <w:ind w:firstLine="446" w:firstLineChars="20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1、合同签订并具备实施条件后七个工作日内，</w:t>
      </w:r>
      <w:r>
        <w:rPr>
          <w:rFonts w:hint="eastAsia" w:ascii="宋体" w:hAnsi="宋体" w:eastAsia="宋体" w:cs="宋体"/>
          <w:color w:val="auto"/>
          <w:kern w:val="2"/>
          <w:sz w:val="21"/>
          <w:szCs w:val="21"/>
          <w:highlight w:val="none"/>
          <w:lang w:val="en-US" w:eastAsia="zh-CN" w:bidi="ar-SA"/>
        </w:rPr>
        <w:t>甲方</w:t>
      </w:r>
      <w:r>
        <w:rPr>
          <w:rFonts w:hint="eastAsia" w:ascii="宋体" w:hAnsi="宋体" w:eastAsia="宋体" w:cs="宋体"/>
          <w:color w:val="auto"/>
          <w:kern w:val="0"/>
          <w:sz w:val="22"/>
          <w:szCs w:val="22"/>
          <w:highlight w:val="none"/>
          <w:lang w:val="en-US" w:eastAsia="zh-CN"/>
        </w:rPr>
        <w:t>向</w:t>
      </w:r>
      <w:r>
        <w:rPr>
          <w:rFonts w:hint="eastAsia" w:ascii="宋体" w:hAnsi="宋体" w:eastAsia="宋体" w:cs="宋体"/>
          <w:color w:val="auto"/>
          <w:kern w:val="2"/>
          <w:sz w:val="21"/>
          <w:szCs w:val="21"/>
          <w:highlight w:val="none"/>
          <w:lang w:val="en-US" w:eastAsia="zh-CN" w:bidi="ar-SA"/>
        </w:rPr>
        <w:t>乙方</w:t>
      </w:r>
      <w:r>
        <w:rPr>
          <w:rFonts w:hint="eastAsia" w:ascii="宋体" w:hAnsi="宋体" w:eastAsia="宋体" w:cs="宋体"/>
          <w:color w:val="auto"/>
          <w:kern w:val="0"/>
          <w:sz w:val="22"/>
          <w:szCs w:val="22"/>
          <w:highlight w:val="none"/>
          <w:lang w:val="en-US" w:eastAsia="zh-CN"/>
        </w:rPr>
        <w:t>支付合同总价的30%作为预付款；</w:t>
      </w:r>
    </w:p>
    <w:p w14:paraId="51D7B320">
      <w:pPr>
        <w:widowControl w:val="0"/>
        <w:snapToGrid w:val="0"/>
        <w:spacing w:line="360" w:lineRule="auto"/>
        <w:ind w:firstLine="446" w:firstLineChars="20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注：在签订合同时，</w:t>
      </w:r>
      <w:r>
        <w:rPr>
          <w:rFonts w:hint="eastAsia" w:ascii="宋体" w:hAnsi="宋体" w:eastAsia="宋体" w:cs="宋体"/>
          <w:color w:val="auto"/>
          <w:kern w:val="2"/>
          <w:sz w:val="21"/>
          <w:szCs w:val="21"/>
          <w:highlight w:val="none"/>
          <w:lang w:val="en-US" w:eastAsia="zh-CN" w:bidi="ar-SA"/>
        </w:rPr>
        <w:t>乙方</w:t>
      </w:r>
      <w:r>
        <w:rPr>
          <w:rFonts w:hint="eastAsia" w:ascii="宋体" w:hAnsi="宋体" w:eastAsia="宋体" w:cs="宋体"/>
          <w:color w:val="auto"/>
          <w:kern w:val="0"/>
          <w:sz w:val="22"/>
          <w:szCs w:val="22"/>
          <w:highlight w:val="none"/>
          <w:lang w:val="en-US" w:eastAsia="zh-CN"/>
        </w:rPr>
        <w:t>明确表示无需预付款或者主动要求降低预付款比例的，</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0"/>
          <w:sz w:val="22"/>
          <w:szCs w:val="22"/>
          <w:highlight w:val="none"/>
          <w:lang w:val="en-US" w:eastAsia="zh-CN"/>
        </w:rPr>
        <w:t>可不适用前述规定。</w:t>
      </w:r>
      <w:r>
        <w:rPr>
          <w:rFonts w:hint="eastAsia" w:ascii="宋体" w:hAnsi="宋体" w:eastAsia="宋体" w:cs="宋体"/>
          <w:color w:val="auto"/>
          <w:kern w:val="2"/>
          <w:sz w:val="21"/>
          <w:szCs w:val="21"/>
          <w:highlight w:val="none"/>
          <w:lang w:val="en-US" w:eastAsia="zh-CN" w:bidi="ar-SA"/>
        </w:rPr>
        <w:t>甲方</w:t>
      </w:r>
      <w:r>
        <w:rPr>
          <w:rFonts w:hint="eastAsia" w:ascii="宋体" w:hAnsi="宋体" w:eastAsia="宋体" w:cs="宋体"/>
          <w:color w:val="auto"/>
          <w:kern w:val="0"/>
          <w:sz w:val="22"/>
          <w:szCs w:val="22"/>
          <w:highlight w:val="none"/>
          <w:lang w:val="en-US" w:eastAsia="zh-CN"/>
        </w:rPr>
        <w:t>可根据项目特点、供应商信用等情况，决定是否要求</w:t>
      </w:r>
      <w:r>
        <w:rPr>
          <w:rFonts w:hint="eastAsia" w:ascii="宋体" w:hAnsi="宋体" w:eastAsia="宋体" w:cs="宋体"/>
          <w:color w:val="auto"/>
          <w:kern w:val="2"/>
          <w:sz w:val="21"/>
          <w:szCs w:val="21"/>
          <w:highlight w:val="none"/>
          <w:lang w:val="en-US" w:eastAsia="zh-CN" w:bidi="ar-SA"/>
        </w:rPr>
        <w:t>乙方</w:t>
      </w:r>
      <w:r>
        <w:rPr>
          <w:rFonts w:hint="eastAsia" w:ascii="宋体" w:hAnsi="宋体" w:eastAsia="宋体" w:cs="宋体"/>
          <w:color w:val="auto"/>
          <w:kern w:val="0"/>
          <w:sz w:val="22"/>
          <w:szCs w:val="22"/>
          <w:highlight w:val="none"/>
          <w:lang w:val="en-US" w:eastAsia="zh-CN"/>
        </w:rPr>
        <w:t>提交银行、保险公司等金融机构出具的预付款保函或其他担保措施。（浙财采监[2022]3号文件）。</w:t>
      </w:r>
    </w:p>
    <w:p w14:paraId="3B6C68FA">
      <w:pPr>
        <w:widowControl w:val="0"/>
        <w:snapToGrid w:val="0"/>
        <w:spacing w:line="360" w:lineRule="auto"/>
        <w:ind w:firstLine="446" w:firstLineChars="20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2、检测费用按月结算，每月就1日至本月底的检测项目进行结算。业务量的结算以乙方出具的当月标本检测报告记录为准。（扣除预付款及罚款金额后予以结算）</w:t>
      </w:r>
    </w:p>
    <w:p w14:paraId="7A01FACE">
      <w:pPr>
        <w:widowControl w:val="0"/>
        <w:snapToGrid w:val="0"/>
        <w:spacing w:line="360" w:lineRule="auto"/>
        <w:ind w:firstLine="44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2"/>
          <w:szCs w:val="22"/>
          <w:highlight w:val="none"/>
          <w:lang w:val="en-US" w:eastAsia="zh-CN"/>
        </w:rPr>
        <w:t>3、经双方共同确认检测数量无异议后，</w:t>
      </w:r>
      <w:r>
        <w:rPr>
          <w:rFonts w:hint="eastAsia" w:ascii="宋体" w:hAnsi="宋体" w:eastAsia="宋体" w:cs="宋体"/>
          <w:color w:val="auto"/>
          <w:kern w:val="2"/>
          <w:sz w:val="21"/>
          <w:szCs w:val="21"/>
          <w:highlight w:val="none"/>
          <w:lang w:val="en-US" w:eastAsia="zh-CN" w:bidi="ar-SA"/>
        </w:rPr>
        <w:t>甲方</w:t>
      </w:r>
      <w:r>
        <w:rPr>
          <w:rFonts w:hint="eastAsia" w:ascii="宋体" w:hAnsi="宋体" w:eastAsia="宋体" w:cs="宋体"/>
          <w:color w:val="auto"/>
          <w:kern w:val="0"/>
          <w:sz w:val="22"/>
          <w:szCs w:val="22"/>
          <w:highlight w:val="none"/>
          <w:lang w:val="en-US" w:eastAsia="zh-CN"/>
        </w:rPr>
        <w:t>在收到</w:t>
      </w:r>
      <w:r>
        <w:rPr>
          <w:rFonts w:hint="eastAsia" w:ascii="宋体" w:hAnsi="宋体" w:eastAsia="宋体" w:cs="宋体"/>
          <w:color w:val="auto"/>
          <w:kern w:val="2"/>
          <w:sz w:val="21"/>
          <w:szCs w:val="21"/>
          <w:highlight w:val="none"/>
          <w:lang w:val="en-US" w:eastAsia="zh-CN" w:bidi="ar-SA"/>
        </w:rPr>
        <w:t>乙方</w:t>
      </w:r>
      <w:r>
        <w:rPr>
          <w:rFonts w:hint="eastAsia" w:ascii="宋体" w:hAnsi="宋体" w:eastAsia="宋体" w:cs="宋体"/>
          <w:color w:val="auto"/>
          <w:kern w:val="0"/>
          <w:sz w:val="22"/>
          <w:szCs w:val="22"/>
          <w:highlight w:val="none"/>
          <w:lang w:val="en-US" w:eastAsia="zh-CN"/>
        </w:rPr>
        <w:t>的发票后60日内支付检测服务费用。</w:t>
      </w:r>
      <w:r>
        <w:rPr>
          <w:rFonts w:hint="eastAsia" w:ascii="宋体" w:hAnsi="宋体" w:eastAsia="宋体" w:cs="宋体"/>
          <w:color w:val="auto"/>
          <w:kern w:val="2"/>
          <w:sz w:val="21"/>
          <w:szCs w:val="21"/>
          <w:highlight w:val="none"/>
        </w:rPr>
        <w:t>双方银行账户信息如下：</w:t>
      </w:r>
    </w:p>
    <w:p w14:paraId="40DB0881">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                           乙方： </w:t>
      </w:r>
    </w:p>
    <w:p w14:paraId="5B0435E1">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户名：                           户名： </w:t>
      </w:r>
    </w:p>
    <w:p w14:paraId="4C51121A">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开户行：                         开户行： </w:t>
      </w:r>
    </w:p>
    <w:p w14:paraId="156E0A3C">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                           账号：</w:t>
      </w:r>
    </w:p>
    <w:p w14:paraId="4D121656">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2、双方业务往来以对公账号为准。</w:t>
      </w:r>
    </w:p>
    <w:p w14:paraId="585CDA90">
      <w:pPr>
        <w:widowControl/>
        <w:shd w:val="clear" w:color="auto" w:fill="FFFFFF"/>
        <w:spacing w:line="360" w:lineRule="auto"/>
        <w:ind w:firstLine="426"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3、乙方应于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日完成标书内所有检验项目的前期准备并开展送检工作。履约保证金人民币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万元，合同期满后无息退回。</w:t>
      </w:r>
    </w:p>
    <w:p w14:paraId="0494B0C3">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七、协议的终止：</w:t>
      </w:r>
    </w:p>
    <w:p w14:paraId="2953878C">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存在以下情形的，甲乙双方有权终止本协议：</w:t>
      </w:r>
    </w:p>
    <w:p w14:paraId="291C8C10">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1、甲方不按乙方的规定提供检验样本，经双方多次协商后仍不予改正；</w:t>
      </w:r>
    </w:p>
    <w:p w14:paraId="49DC4498">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2、乙方因国家政策或其他原因不能提供相应的服务。</w:t>
      </w:r>
    </w:p>
    <w:p w14:paraId="76A159A4">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甲方将不定期组织专家至乙方现场检查、督导并查看试剂、设备等采购相关台账，如发现乙方存在提供虚假信息或未经院方同意私自更改使用试剂的品牌和检验项目的方法学等现象，甲方有权立即终止合同，乙方需按已做项目的收费金额赔偿院方，并承担所有相关违约责任。</w:t>
      </w:r>
    </w:p>
    <w:p w14:paraId="753AD68B">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八、违约责任：</w:t>
      </w:r>
    </w:p>
    <w:p w14:paraId="6BAF8E84">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任一方未按照本协议规定履行或履行不符合本协议规定的，即为违约，违约方应承担相应的责任并赔偿守约方因此而遭受的所有损失。</w:t>
      </w:r>
    </w:p>
    <w:p w14:paraId="165981C8">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九、纠纷的解决：</w:t>
      </w:r>
    </w:p>
    <w:p w14:paraId="18B202DA">
      <w:pPr>
        <w:widowControl w:val="0"/>
        <w:snapToGrid w:val="0"/>
        <w:spacing w:line="360" w:lineRule="auto"/>
        <w:ind w:firstLine="426" w:firstLineChars="200"/>
        <w:jc w:val="left"/>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未尽事宜及在本协议履行过程中出现的争议，由双方友好协商解决。协商不能解决的，按照</w:t>
      </w:r>
      <w:r>
        <w:rPr>
          <w:rFonts w:hint="default" w:ascii="宋体" w:hAnsi="宋体" w:eastAsia="宋体" w:cs="宋体"/>
          <w:color w:val="auto"/>
          <w:kern w:val="2"/>
          <w:sz w:val="21"/>
          <w:szCs w:val="21"/>
          <w:highlight w:val="none"/>
        </w:rPr>
        <w:t>以下方式解决：</w:t>
      </w:r>
    </w:p>
    <w:p w14:paraId="7B5A3534">
      <w:pPr>
        <w:widowControl w:val="0"/>
        <w:snapToGrid w:val="0"/>
        <w:spacing w:line="360" w:lineRule="auto"/>
        <w:ind w:firstLine="426" w:firstLineChars="200"/>
        <w:jc w:val="left"/>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口 双方同意向温州仲裁委员会提起仲裁，依照该委员会规则进行仲裁；</w:t>
      </w:r>
    </w:p>
    <w:p w14:paraId="49D0AB27">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口 双方</w:t>
      </w:r>
      <w:r>
        <w:rPr>
          <w:rFonts w:hint="default" w:ascii="宋体" w:hAnsi="宋体" w:eastAsia="宋体" w:cs="宋体"/>
          <w:color w:val="auto"/>
          <w:kern w:val="2"/>
          <w:sz w:val="21"/>
          <w:szCs w:val="21"/>
          <w:highlight w:val="none"/>
        </w:rPr>
        <w:t>同意向</w:t>
      </w:r>
      <w:r>
        <w:rPr>
          <w:rFonts w:hint="eastAsia" w:ascii="宋体" w:hAnsi="宋体" w:eastAsia="宋体" w:cs="宋体"/>
          <w:color w:val="auto"/>
          <w:kern w:val="2"/>
          <w:sz w:val="21"/>
          <w:szCs w:val="21"/>
          <w:highlight w:val="none"/>
        </w:rPr>
        <w:t>甲方所在地</w:t>
      </w:r>
      <w:r>
        <w:rPr>
          <w:rFonts w:hint="default" w:ascii="宋体" w:hAnsi="宋体" w:eastAsia="宋体" w:cs="宋体"/>
          <w:color w:val="auto"/>
          <w:kern w:val="2"/>
          <w:sz w:val="21"/>
          <w:szCs w:val="21"/>
          <w:highlight w:val="none"/>
        </w:rPr>
        <w:t>院</w:t>
      </w:r>
      <w:r>
        <w:rPr>
          <w:rFonts w:hint="eastAsia" w:ascii="宋体" w:hAnsi="宋体" w:eastAsia="宋体" w:cs="宋体"/>
          <w:color w:val="auto"/>
          <w:kern w:val="2"/>
          <w:sz w:val="21"/>
          <w:szCs w:val="21"/>
          <w:highlight w:val="none"/>
        </w:rPr>
        <w:t>提起</w:t>
      </w:r>
      <w:r>
        <w:rPr>
          <w:rFonts w:hint="default" w:ascii="宋体" w:hAnsi="宋体" w:eastAsia="宋体" w:cs="宋体"/>
          <w:color w:val="auto"/>
          <w:kern w:val="2"/>
          <w:sz w:val="21"/>
          <w:szCs w:val="21"/>
          <w:highlight w:val="none"/>
        </w:rPr>
        <w:t>诉讼。</w:t>
      </w:r>
    </w:p>
    <w:p w14:paraId="5CAB3BE5">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十、协议的效力：</w:t>
      </w:r>
    </w:p>
    <w:p w14:paraId="6CDD2253">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本协议一式</w:t>
      </w:r>
      <w:r>
        <w:rPr>
          <w:rFonts w:hint="eastAsia" w:ascii="宋体" w:hAnsi="宋体" w:eastAsia="宋体" w:cs="宋体"/>
          <w:color w:val="auto"/>
          <w:kern w:val="2"/>
          <w:sz w:val="21"/>
          <w:szCs w:val="21"/>
          <w:highlight w:val="none"/>
          <w:lang w:val="en-US" w:eastAsia="zh-CN"/>
        </w:rPr>
        <w:t>伍</w:t>
      </w:r>
      <w:r>
        <w:rPr>
          <w:rFonts w:hint="eastAsia" w:ascii="宋体" w:hAnsi="宋体" w:eastAsia="宋体" w:cs="宋体"/>
          <w:color w:val="auto"/>
          <w:kern w:val="2"/>
          <w:sz w:val="21"/>
          <w:szCs w:val="21"/>
          <w:highlight w:val="none"/>
        </w:rPr>
        <w:t>份，</w:t>
      </w:r>
      <w:r>
        <w:rPr>
          <w:rFonts w:hint="eastAsia" w:ascii="宋体" w:hAnsi="宋体" w:eastAsia="宋体" w:cs="宋体"/>
          <w:color w:val="auto"/>
          <w:kern w:val="2"/>
          <w:sz w:val="21"/>
          <w:szCs w:val="21"/>
          <w:highlight w:val="none"/>
          <w:lang w:val="en-US" w:eastAsia="zh-CN"/>
        </w:rPr>
        <w:t>双</w:t>
      </w:r>
      <w:r>
        <w:rPr>
          <w:rFonts w:hint="eastAsia" w:ascii="宋体" w:hAnsi="宋体" w:eastAsia="宋体" w:cs="宋体"/>
          <w:color w:val="auto"/>
          <w:kern w:val="2"/>
          <w:sz w:val="21"/>
          <w:szCs w:val="21"/>
          <w:highlight w:val="none"/>
        </w:rPr>
        <w:t>方</w:t>
      </w:r>
      <w:r>
        <w:rPr>
          <w:rFonts w:hint="eastAsia" w:ascii="宋体" w:hAnsi="宋体" w:eastAsia="宋体" w:cs="宋体"/>
          <w:color w:val="auto"/>
          <w:kern w:val="2"/>
          <w:sz w:val="21"/>
          <w:szCs w:val="21"/>
          <w:highlight w:val="none"/>
          <w:lang w:val="en-US" w:eastAsia="zh-CN"/>
        </w:rPr>
        <w:t>各</w:t>
      </w:r>
      <w:r>
        <w:rPr>
          <w:rFonts w:hint="eastAsia" w:ascii="宋体" w:hAnsi="宋体" w:eastAsia="宋体" w:cs="宋体"/>
          <w:color w:val="auto"/>
          <w:kern w:val="2"/>
          <w:sz w:val="21"/>
          <w:szCs w:val="21"/>
          <w:highlight w:val="none"/>
        </w:rPr>
        <w:t>执</w:t>
      </w:r>
      <w:r>
        <w:rPr>
          <w:rFonts w:hint="eastAsia" w:ascii="宋体" w:hAnsi="宋体" w:eastAsia="宋体" w:cs="宋体"/>
          <w:color w:val="auto"/>
          <w:kern w:val="2"/>
          <w:sz w:val="21"/>
          <w:szCs w:val="21"/>
          <w:highlight w:val="none"/>
          <w:lang w:val="en-US" w:eastAsia="zh-CN"/>
        </w:rPr>
        <w:t>贰</w:t>
      </w:r>
      <w:r>
        <w:rPr>
          <w:rFonts w:hint="eastAsia" w:ascii="宋体" w:hAnsi="宋体" w:eastAsia="宋体" w:cs="宋体"/>
          <w:color w:val="auto"/>
          <w:kern w:val="2"/>
          <w:sz w:val="21"/>
          <w:szCs w:val="21"/>
          <w:highlight w:val="none"/>
        </w:rPr>
        <w:t>份</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代理公司执壹份</w:t>
      </w:r>
      <w:r>
        <w:rPr>
          <w:rFonts w:hint="eastAsia" w:eastAsia="宋体" w:cs="宋体"/>
          <w:color w:val="auto"/>
          <w:kern w:val="2"/>
          <w:sz w:val="21"/>
          <w:szCs w:val="21"/>
          <w:highlight w:val="none"/>
          <w:lang w:val="en-US" w:eastAsia="zh-CN"/>
        </w:rPr>
        <w:t>（备案）</w:t>
      </w:r>
      <w:r>
        <w:rPr>
          <w:rFonts w:hint="eastAsia" w:ascii="宋体" w:hAnsi="宋体" w:eastAsia="宋体" w:cs="宋体"/>
          <w:color w:val="auto"/>
          <w:kern w:val="2"/>
          <w:sz w:val="21"/>
          <w:szCs w:val="21"/>
          <w:highlight w:val="none"/>
        </w:rPr>
        <w:t>，自双方签字并加盖公章或合同专用章后生效。</w:t>
      </w:r>
    </w:p>
    <w:p w14:paraId="650B51C5">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十一、其他：</w:t>
      </w:r>
    </w:p>
    <w:p w14:paraId="23EFAF8C">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1、本协议有效期内，甲方的地址变更的，应及时书面通知乙方。</w:t>
      </w:r>
    </w:p>
    <w:p w14:paraId="7EA8B8AA">
      <w:pPr>
        <w:widowControl w:val="0"/>
        <w:snapToGrid w:val="0"/>
        <w:spacing w:line="360" w:lineRule="auto"/>
        <w:ind w:firstLine="426" w:firstLineChars="200"/>
        <w:jc w:val="left"/>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rPr>
        <w:t>2、未经另一方书面同意，任何一方不得变更或修改本协议；双方协商达成一致的，应签订书面变更协议或补充协议。</w:t>
      </w:r>
    </w:p>
    <w:p w14:paraId="38ED0517">
      <w:pPr>
        <w:widowControl w:val="0"/>
        <w:spacing w:line="360" w:lineRule="auto"/>
        <w:ind w:left="-547" w:leftChars="-257" w:right="-55" w:rightChars="-26"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甲方（盖章）：                                乙方（盖章）：</w:t>
      </w:r>
    </w:p>
    <w:p w14:paraId="156B6377">
      <w:pPr>
        <w:widowControl w:val="0"/>
        <w:spacing w:line="360" w:lineRule="auto"/>
        <w:ind w:left="-547" w:leftChars="-257" w:right="-55" w:rightChars="-26"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法定代表人或授权委托人                   法定代表人或授权委托人：</w:t>
      </w:r>
    </w:p>
    <w:p w14:paraId="325E6AB9">
      <w:pPr>
        <w:widowControl w:val="0"/>
        <w:spacing w:line="360" w:lineRule="auto"/>
        <w:ind w:left="-547" w:leftChars="-257" w:right="-55" w:rightChars="-26"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（签字）：                                    （签字）：</w:t>
      </w:r>
    </w:p>
    <w:p w14:paraId="6CBD2084">
      <w:pPr>
        <w:widowControl w:val="0"/>
        <w:spacing w:line="360" w:lineRule="auto"/>
        <w:ind w:left="-547" w:leftChars="-257"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地址：                 </w:t>
      </w:r>
      <w:r>
        <w:rPr>
          <w:rFonts w:hint="eastAsia" w:ascii="宋体" w:hAnsi="宋体" w:eastAsia="宋体" w:cs="Times New Roman"/>
          <w:color w:val="auto"/>
          <w:kern w:val="2"/>
          <w:sz w:val="21"/>
          <w:szCs w:val="21"/>
          <w:highlight w:val="none"/>
          <w:lang w:val="en-US" w:eastAsia="zh-CN"/>
        </w:rPr>
        <w:t xml:space="preserve">               </w:t>
      </w:r>
      <w:r>
        <w:rPr>
          <w:rFonts w:hint="eastAsia" w:ascii="宋体" w:hAnsi="宋体" w:eastAsia="宋体" w:cs="Times New Roman"/>
          <w:color w:val="auto"/>
          <w:kern w:val="2"/>
          <w:sz w:val="21"/>
          <w:szCs w:val="21"/>
          <w:highlight w:val="none"/>
        </w:rPr>
        <w:t xml:space="preserve">    地址：                     </w:t>
      </w:r>
    </w:p>
    <w:p w14:paraId="3DE60FAF">
      <w:pPr>
        <w:widowControl w:val="0"/>
        <w:spacing w:line="360" w:lineRule="auto"/>
        <w:ind w:left="-547" w:leftChars="-257"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联系电话：                      </w:t>
      </w:r>
      <w:r>
        <w:rPr>
          <w:rFonts w:hint="eastAsia" w:ascii="宋体" w:hAnsi="宋体" w:eastAsia="宋体" w:cs="Times New Roman"/>
          <w:color w:val="auto"/>
          <w:kern w:val="2"/>
          <w:sz w:val="21"/>
          <w:szCs w:val="21"/>
          <w:highlight w:val="none"/>
          <w:lang w:val="en-US" w:eastAsia="zh-CN"/>
        </w:rPr>
        <w:t xml:space="preserve">          </w:t>
      </w:r>
      <w:r>
        <w:rPr>
          <w:rFonts w:hint="eastAsia" w:ascii="宋体" w:hAnsi="宋体" w:eastAsia="宋体" w:cs="Times New Roman"/>
          <w:color w:val="auto"/>
          <w:kern w:val="2"/>
          <w:sz w:val="21"/>
          <w:szCs w:val="21"/>
          <w:highlight w:val="none"/>
        </w:rPr>
        <w:t xml:space="preserve">联系电话：                      </w:t>
      </w:r>
    </w:p>
    <w:p w14:paraId="390AFC3F">
      <w:pPr>
        <w:widowControl w:val="0"/>
        <w:spacing w:line="360" w:lineRule="auto"/>
        <w:ind w:left="-547" w:leftChars="-257"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传真：    </w:t>
      </w:r>
      <w:r>
        <w:rPr>
          <w:rFonts w:hint="eastAsia" w:ascii="宋体" w:hAnsi="宋体" w:eastAsia="宋体" w:cs="Times New Roman"/>
          <w:color w:val="auto"/>
          <w:kern w:val="2"/>
          <w:sz w:val="21"/>
          <w:szCs w:val="21"/>
          <w:highlight w:val="none"/>
          <w:lang w:val="en-US" w:eastAsia="zh-CN"/>
        </w:rPr>
        <w:t xml:space="preserve">                                </w:t>
      </w:r>
      <w:r>
        <w:rPr>
          <w:rFonts w:hint="eastAsia" w:ascii="宋体" w:hAnsi="宋体" w:eastAsia="宋体" w:cs="Times New Roman"/>
          <w:color w:val="auto"/>
          <w:kern w:val="2"/>
          <w:sz w:val="21"/>
          <w:szCs w:val="21"/>
          <w:highlight w:val="none"/>
        </w:rPr>
        <w:t xml:space="preserve">传真：  </w:t>
      </w:r>
    </w:p>
    <w:p w14:paraId="1C091CFA">
      <w:pPr>
        <w:widowControl w:val="0"/>
        <w:spacing w:line="360" w:lineRule="auto"/>
        <w:ind w:left="-547" w:leftChars="-257"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 </w:t>
      </w:r>
    </w:p>
    <w:p w14:paraId="29747EA7">
      <w:pPr>
        <w:widowControl w:val="0"/>
        <w:snapToGrid w:val="0"/>
        <w:spacing w:line="360" w:lineRule="auto"/>
        <w:jc w:val="both"/>
        <w:rPr>
          <w:rFonts w:hint="eastAsia" w:ascii="Times New Roman" w:hAnsi="Times New Roman" w:eastAsia="宋体" w:cs="Times New Roman"/>
          <w:color w:val="auto"/>
          <w:kern w:val="2"/>
          <w:sz w:val="36"/>
          <w:szCs w:val="20"/>
          <w:highlight w:val="none"/>
        </w:rPr>
      </w:pPr>
      <w:r>
        <w:rPr>
          <w:rFonts w:hint="eastAsia" w:ascii="宋体" w:hAnsi="宋体" w:eastAsia="宋体" w:cs="Times New Roman"/>
          <w:color w:val="auto"/>
          <w:kern w:val="2"/>
          <w:sz w:val="21"/>
          <w:szCs w:val="21"/>
          <w:highlight w:val="none"/>
          <w:lang w:val="en-US" w:eastAsia="zh-CN" w:bidi="ar-SA"/>
        </w:rPr>
        <w:t>日   期：                                     日   期:</w:t>
      </w:r>
    </w:p>
    <w:p w14:paraId="42E09677">
      <w:pPr>
        <w:keepNext/>
        <w:keepLines/>
        <w:widowControl w:val="0"/>
        <w:spacing w:before="340" w:after="330" w:line="578" w:lineRule="auto"/>
        <w:jc w:val="both"/>
        <w:outlineLvl w:val="0"/>
        <w:rPr>
          <w:rFonts w:hint="eastAsia" w:ascii="黑体" w:hAnsi="Arial" w:eastAsia="黑体" w:cs="Arial"/>
          <w:b/>
          <w:bCs/>
          <w:color w:val="auto"/>
          <w:kern w:val="44"/>
          <w:sz w:val="36"/>
          <w:szCs w:val="36"/>
          <w:highlight w:val="none"/>
          <w:lang w:val="en-US" w:eastAsia="zh-CN" w:bidi="ar-SA"/>
        </w:rPr>
      </w:pPr>
    </w:p>
    <w:p w14:paraId="78B483CB">
      <w:pPr>
        <w:widowControl w:val="0"/>
        <w:adjustRightInd w:val="0"/>
        <w:snapToGrid w:val="0"/>
        <w:spacing w:line="400" w:lineRule="exact"/>
        <w:jc w:val="center"/>
        <w:rPr>
          <w:rFonts w:hint="eastAsia" w:ascii="宋体" w:hAnsi="宋体" w:eastAsia="宋体" w:cs="黑体"/>
          <w:color w:val="auto"/>
          <w:kern w:val="0"/>
          <w:sz w:val="36"/>
          <w:szCs w:val="36"/>
          <w:highlight w:val="none"/>
          <w:lang w:val="en-US" w:eastAsia="zh-CN" w:bidi="ar-SA"/>
        </w:rPr>
      </w:pPr>
    </w:p>
    <w:p w14:paraId="577A596A">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4F1B03FC">
      <w:pPr>
        <w:autoSpaceDE w:val="0"/>
        <w:autoSpaceDN w:val="0"/>
        <w:adjustRightInd w:val="0"/>
        <w:spacing w:line="360" w:lineRule="exact"/>
        <w:jc w:val="center"/>
        <w:rPr>
          <w:rFonts w:hint="eastAsia" w:ascii="宋体"/>
          <w:b/>
          <w:bCs/>
          <w:color w:val="auto"/>
          <w:sz w:val="32"/>
          <w:szCs w:val="32"/>
          <w:highlight w:val="none"/>
          <w:lang w:val="zh-CN"/>
        </w:rPr>
      </w:pPr>
    </w:p>
    <w:p w14:paraId="1EC5E44D">
      <w:pPr>
        <w:autoSpaceDE w:val="0"/>
        <w:autoSpaceDN w:val="0"/>
        <w:adjustRightInd w:val="0"/>
        <w:spacing w:line="360" w:lineRule="exact"/>
        <w:jc w:val="center"/>
        <w:rPr>
          <w:rFonts w:hint="eastAsia" w:ascii="宋体"/>
          <w:b/>
          <w:bCs/>
          <w:color w:val="auto"/>
          <w:sz w:val="32"/>
          <w:szCs w:val="32"/>
          <w:highlight w:val="none"/>
          <w:lang w:val="zh-CN"/>
        </w:rPr>
      </w:pPr>
    </w:p>
    <w:p w14:paraId="6387D4DE">
      <w:pPr>
        <w:autoSpaceDE w:val="0"/>
        <w:autoSpaceDN w:val="0"/>
        <w:adjustRightInd w:val="0"/>
        <w:spacing w:line="360" w:lineRule="exact"/>
        <w:jc w:val="both"/>
        <w:rPr>
          <w:rFonts w:hint="eastAsia" w:ascii="宋体"/>
          <w:b/>
          <w:bCs/>
          <w:color w:val="auto"/>
          <w:sz w:val="32"/>
          <w:szCs w:val="32"/>
          <w:highlight w:val="none"/>
          <w:lang w:val="zh-CN"/>
        </w:rPr>
      </w:pPr>
    </w:p>
    <w:p w14:paraId="7A476AB4">
      <w:pPr>
        <w:autoSpaceDE w:val="0"/>
        <w:autoSpaceDN w:val="0"/>
        <w:adjustRightInd w:val="0"/>
        <w:spacing w:line="360" w:lineRule="exact"/>
        <w:jc w:val="center"/>
        <w:rPr>
          <w:rFonts w:hint="eastAsia" w:ascii="宋体"/>
          <w:b/>
          <w:bCs/>
          <w:color w:val="auto"/>
          <w:sz w:val="32"/>
          <w:szCs w:val="32"/>
          <w:highlight w:val="none"/>
          <w:lang w:val="zh-CN"/>
        </w:rPr>
      </w:pPr>
    </w:p>
    <w:p w14:paraId="7407291A">
      <w:pPr>
        <w:autoSpaceDE w:val="0"/>
        <w:autoSpaceDN w:val="0"/>
        <w:adjustRightInd w:val="0"/>
        <w:spacing w:line="360" w:lineRule="exact"/>
        <w:jc w:val="center"/>
        <w:rPr>
          <w:rFonts w:hint="eastAsia" w:ascii="宋体"/>
          <w:b/>
          <w:bCs/>
          <w:color w:val="auto"/>
          <w:sz w:val="32"/>
          <w:szCs w:val="32"/>
          <w:highlight w:val="none"/>
          <w:lang w:val="zh-CN"/>
        </w:rPr>
      </w:pPr>
    </w:p>
    <w:p w14:paraId="1123CF38">
      <w:pPr>
        <w:autoSpaceDE w:val="0"/>
        <w:autoSpaceDN w:val="0"/>
        <w:adjustRightInd w:val="0"/>
        <w:spacing w:line="360" w:lineRule="exact"/>
        <w:jc w:val="center"/>
        <w:rPr>
          <w:rFonts w:hint="eastAsia" w:ascii="宋体"/>
          <w:b/>
          <w:bCs/>
          <w:color w:val="auto"/>
          <w:sz w:val="32"/>
          <w:szCs w:val="32"/>
          <w:highlight w:val="none"/>
          <w:lang w:val="zh-CN"/>
        </w:rPr>
      </w:pPr>
    </w:p>
    <w:p w14:paraId="2D3D8F4C">
      <w:pPr>
        <w:autoSpaceDE w:val="0"/>
        <w:autoSpaceDN w:val="0"/>
        <w:adjustRightInd w:val="0"/>
        <w:spacing w:line="360" w:lineRule="exact"/>
        <w:jc w:val="center"/>
        <w:rPr>
          <w:rFonts w:hint="eastAsia" w:ascii="宋体"/>
          <w:b/>
          <w:bCs/>
          <w:color w:val="auto"/>
          <w:sz w:val="32"/>
          <w:szCs w:val="32"/>
          <w:highlight w:val="none"/>
          <w:lang w:val="zh-CN"/>
        </w:rPr>
      </w:pPr>
    </w:p>
    <w:p w14:paraId="42EDE3F0">
      <w:pPr>
        <w:autoSpaceDE w:val="0"/>
        <w:autoSpaceDN w:val="0"/>
        <w:adjustRightInd w:val="0"/>
        <w:spacing w:line="360" w:lineRule="exact"/>
        <w:jc w:val="center"/>
        <w:rPr>
          <w:rFonts w:hint="eastAsia" w:ascii="宋体"/>
          <w:b/>
          <w:bCs/>
          <w:color w:val="auto"/>
          <w:sz w:val="32"/>
          <w:szCs w:val="32"/>
          <w:highlight w:val="none"/>
          <w:lang w:val="zh-CN"/>
        </w:rPr>
      </w:pPr>
    </w:p>
    <w:p w14:paraId="51D95674">
      <w:pPr>
        <w:autoSpaceDE w:val="0"/>
        <w:autoSpaceDN w:val="0"/>
        <w:adjustRightInd w:val="0"/>
        <w:spacing w:line="360" w:lineRule="exact"/>
        <w:jc w:val="center"/>
        <w:rPr>
          <w:rFonts w:hint="eastAsia" w:ascii="宋体"/>
          <w:b/>
          <w:bCs/>
          <w:color w:val="auto"/>
          <w:sz w:val="32"/>
          <w:szCs w:val="32"/>
          <w:highlight w:val="none"/>
          <w:lang w:val="zh-CN"/>
        </w:rPr>
      </w:pPr>
    </w:p>
    <w:p w14:paraId="4FC3ABD9">
      <w:pPr>
        <w:autoSpaceDE w:val="0"/>
        <w:autoSpaceDN w:val="0"/>
        <w:adjustRightInd w:val="0"/>
        <w:spacing w:line="360" w:lineRule="exact"/>
        <w:jc w:val="center"/>
        <w:rPr>
          <w:rFonts w:hint="eastAsia" w:ascii="宋体"/>
          <w:b/>
          <w:bCs/>
          <w:color w:val="auto"/>
          <w:sz w:val="32"/>
          <w:szCs w:val="32"/>
          <w:highlight w:val="none"/>
          <w:lang w:val="zh-CN"/>
        </w:rPr>
      </w:pPr>
    </w:p>
    <w:p w14:paraId="102B466B">
      <w:pPr>
        <w:autoSpaceDE w:val="0"/>
        <w:autoSpaceDN w:val="0"/>
        <w:adjustRightInd w:val="0"/>
        <w:spacing w:line="360" w:lineRule="exact"/>
        <w:jc w:val="center"/>
        <w:rPr>
          <w:rFonts w:hint="eastAsia" w:ascii="宋体"/>
          <w:b/>
          <w:bCs/>
          <w:color w:val="auto"/>
          <w:sz w:val="32"/>
          <w:szCs w:val="32"/>
          <w:highlight w:val="none"/>
          <w:lang w:val="zh-CN"/>
        </w:rPr>
      </w:pPr>
    </w:p>
    <w:p w14:paraId="1B529545">
      <w:pPr>
        <w:autoSpaceDE w:val="0"/>
        <w:autoSpaceDN w:val="0"/>
        <w:adjustRightInd w:val="0"/>
        <w:spacing w:line="360" w:lineRule="exact"/>
        <w:jc w:val="center"/>
        <w:rPr>
          <w:rFonts w:hint="eastAsia" w:ascii="宋体"/>
          <w:b/>
          <w:bCs/>
          <w:color w:val="auto"/>
          <w:sz w:val="32"/>
          <w:szCs w:val="32"/>
          <w:highlight w:val="none"/>
          <w:lang w:val="zh-CN"/>
        </w:rPr>
      </w:pPr>
    </w:p>
    <w:p w14:paraId="0169D930">
      <w:pPr>
        <w:autoSpaceDE w:val="0"/>
        <w:autoSpaceDN w:val="0"/>
        <w:adjustRightInd w:val="0"/>
        <w:spacing w:line="360" w:lineRule="exact"/>
        <w:jc w:val="center"/>
        <w:rPr>
          <w:rFonts w:hint="eastAsia" w:ascii="宋体"/>
          <w:b/>
          <w:bCs/>
          <w:color w:val="auto"/>
          <w:sz w:val="32"/>
          <w:szCs w:val="32"/>
          <w:highlight w:val="none"/>
          <w:lang w:val="zh-CN"/>
        </w:rPr>
      </w:pPr>
    </w:p>
    <w:p w14:paraId="7C743E10">
      <w:pPr>
        <w:autoSpaceDE w:val="0"/>
        <w:autoSpaceDN w:val="0"/>
        <w:adjustRightInd w:val="0"/>
        <w:spacing w:line="360" w:lineRule="exact"/>
        <w:jc w:val="center"/>
        <w:rPr>
          <w:rFonts w:hint="eastAsia" w:ascii="宋体"/>
          <w:b/>
          <w:bCs/>
          <w:color w:val="auto"/>
          <w:sz w:val="32"/>
          <w:szCs w:val="32"/>
          <w:highlight w:val="none"/>
          <w:lang w:val="zh-CN"/>
        </w:rPr>
      </w:pPr>
    </w:p>
    <w:p w14:paraId="68963B85">
      <w:pPr>
        <w:autoSpaceDE w:val="0"/>
        <w:autoSpaceDN w:val="0"/>
        <w:adjustRightInd w:val="0"/>
        <w:spacing w:line="360" w:lineRule="exact"/>
        <w:jc w:val="center"/>
        <w:rPr>
          <w:rFonts w:hint="eastAsia" w:ascii="宋体"/>
          <w:b/>
          <w:bCs/>
          <w:color w:val="auto"/>
          <w:sz w:val="32"/>
          <w:szCs w:val="32"/>
          <w:highlight w:val="none"/>
          <w:lang w:val="zh-CN"/>
        </w:rPr>
      </w:pPr>
    </w:p>
    <w:p w14:paraId="2900315A">
      <w:pPr>
        <w:autoSpaceDE w:val="0"/>
        <w:autoSpaceDN w:val="0"/>
        <w:adjustRightInd w:val="0"/>
        <w:spacing w:line="360" w:lineRule="exact"/>
        <w:jc w:val="center"/>
        <w:rPr>
          <w:rFonts w:hint="eastAsia" w:ascii="宋体"/>
          <w:b/>
          <w:bCs/>
          <w:color w:val="auto"/>
          <w:sz w:val="32"/>
          <w:szCs w:val="32"/>
          <w:highlight w:val="none"/>
          <w:lang w:val="zh-CN"/>
        </w:rPr>
      </w:pPr>
    </w:p>
    <w:p w14:paraId="0663C78F">
      <w:pPr>
        <w:autoSpaceDE w:val="0"/>
        <w:autoSpaceDN w:val="0"/>
        <w:adjustRightInd w:val="0"/>
        <w:spacing w:line="360" w:lineRule="exact"/>
        <w:jc w:val="center"/>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泰顺县人民医院（泰顺县人民医院医共体）检测项目外送服务 </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TSCG202511008 </w:t>
            </w:r>
          </w:p>
        </w:tc>
      </w:tr>
      <w:tr w14:paraId="60DC818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2A295B98">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10FA9AE">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11F07E89">
      <w:pPr>
        <w:autoSpaceDE w:val="0"/>
        <w:autoSpaceDN w:val="0"/>
        <w:adjustRightInd w:val="0"/>
        <w:spacing w:line="360" w:lineRule="exact"/>
        <w:rPr>
          <w:rFonts w:hint="eastAsia" w:ascii="宋体" w:hAnsi="宋体" w:cs="宋体"/>
          <w:b/>
          <w:bCs/>
          <w:color w:val="auto"/>
          <w:sz w:val="32"/>
          <w:szCs w:val="32"/>
          <w:highlight w:val="none"/>
          <w:lang w:val="zh-CN"/>
        </w:rPr>
      </w:pPr>
    </w:p>
    <w:p w14:paraId="16E66EE3">
      <w:pPr>
        <w:autoSpaceDE w:val="0"/>
        <w:autoSpaceDN w:val="0"/>
        <w:adjustRightInd w:val="0"/>
        <w:spacing w:line="360" w:lineRule="exact"/>
        <w:rPr>
          <w:rFonts w:hint="eastAsia" w:ascii="宋体" w:hAnsi="宋体" w:cs="宋体"/>
          <w:b/>
          <w:bCs/>
          <w:color w:val="auto"/>
          <w:sz w:val="32"/>
          <w:szCs w:val="32"/>
          <w:highlight w:val="none"/>
          <w:lang w:val="zh-CN"/>
        </w:rPr>
      </w:pPr>
    </w:p>
    <w:p w14:paraId="1E64FAC9">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泰顺县人民医院（泰顺县人民医院医共体）检测项目外送服务 </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TSCG202511008 </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547"/>
        <w:gridCol w:w="1137"/>
        <w:gridCol w:w="3631"/>
        <w:gridCol w:w="993"/>
        <w:gridCol w:w="1649"/>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42" w:type="pct"/>
            <w:vAlign w:val="center"/>
          </w:tcPr>
          <w:p w14:paraId="7E27348B">
            <w:pPr>
              <w:widowControl w:val="0"/>
              <w:jc w:val="center"/>
              <w:rPr>
                <w:rFonts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w:t>
            </w:r>
          </w:p>
        </w:tc>
        <w:tc>
          <w:tcPr>
            <w:tcW w:w="804" w:type="pct"/>
            <w:tcBorders>
              <w:right w:val="single" w:color="auto" w:sz="4" w:space="0"/>
            </w:tcBorders>
            <w:vAlign w:val="center"/>
          </w:tcPr>
          <w:p w14:paraId="120A5081">
            <w:pPr>
              <w:widowControl w:val="0"/>
              <w:jc w:val="center"/>
              <w:rPr>
                <w:rFonts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标项名称</w:t>
            </w:r>
          </w:p>
        </w:tc>
        <w:tc>
          <w:tcPr>
            <w:tcW w:w="591" w:type="pct"/>
            <w:tcBorders>
              <w:right w:val="single" w:color="000000" w:sz="4" w:space="0"/>
            </w:tcBorders>
            <w:vAlign w:val="center"/>
          </w:tcPr>
          <w:p w14:paraId="3F1DEC6E">
            <w:pPr>
              <w:widowControl w:val="0"/>
              <w:jc w:val="center"/>
              <w:rPr>
                <w:rFonts w:hint="default" w:ascii="宋体" w:hAnsi="宋体" w:eastAsia="新宋体" w:cs="宋体"/>
                <w:b/>
                <w:bCs/>
                <w:color w:val="auto"/>
                <w:kern w:val="2"/>
                <w:sz w:val="22"/>
                <w:szCs w:val="22"/>
                <w:highlight w:val="none"/>
                <w:lang w:val="en-US" w:eastAsia="zh-CN" w:bidi="ar-SA"/>
              </w:rPr>
            </w:pPr>
            <w:r>
              <w:rPr>
                <w:rFonts w:ascii="新宋体" w:hAnsi="新宋体" w:eastAsia="新宋体" w:cs="新宋体"/>
                <w:b/>
                <w:bCs/>
                <w:spacing w:val="-4"/>
                <w:kern w:val="0"/>
                <w:sz w:val="22"/>
                <w:szCs w:val="22"/>
              </w:rPr>
              <w:t>委托外送检验项目常用清单</w:t>
            </w:r>
            <w:r>
              <w:rPr>
                <w:rFonts w:hint="eastAsia" w:ascii="新宋体" w:hAnsi="新宋体" w:eastAsia="新宋体" w:cs="新宋体"/>
                <w:b/>
                <w:bCs/>
                <w:spacing w:val="-4"/>
                <w:kern w:val="0"/>
                <w:sz w:val="22"/>
                <w:szCs w:val="22"/>
                <w:lang w:val="en-US" w:eastAsia="zh-CN"/>
              </w:rPr>
              <w:t>中检测项</w:t>
            </w:r>
          </w:p>
        </w:tc>
        <w:tc>
          <w:tcPr>
            <w:tcW w:w="1887" w:type="pct"/>
            <w:tcBorders>
              <w:left w:val="single" w:color="000000" w:sz="4" w:space="0"/>
            </w:tcBorders>
            <w:vAlign w:val="center"/>
          </w:tcPr>
          <w:p w14:paraId="32978C42">
            <w:pPr>
              <w:widowControl w:val="0"/>
              <w:jc w:val="center"/>
              <w:rPr>
                <w:rFonts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szCs w:val="21"/>
                <w:highlight w:val="none"/>
                <w:lang w:val="en-US" w:eastAsia="zh-CN" w:bidi="ar-SA"/>
              </w:rPr>
              <w:t>投标报价</w:t>
            </w:r>
            <w:r>
              <w:rPr>
                <w:rFonts w:hint="eastAsia" w:ascii="宋体" w:hAnsi="宋体" w:cs="宋体"/>
                <w:b/>
                <w:bCs/>
                <w:color w:val="auto"/>
                <w:kern w:val="0"/>
                <w:sz w:val="22"/>
                <w:szCs w:val="21"/>
                <w:highlight w:val="none"/>
                <w:lang w:val="en-US" w:eastAsia="zh-CN" w:bidi="ar-SA"/>
              </w:rPr>
              <w:t>（折扣率）</w:t>
            </w:r>
          </w:p>
        </w:tc>
        <w:tc>
          <w:tcPr>
            <w:tcW w:w="516" w:type="pct"/>
            <w:vAlign w:val="center"/>
          </w:tcPr>
          <w:p w14:paraId="71F6DBC0">
            <w:pPr>
              <w:widowControl w:val="0"/>
              <w:jc w:val="center"/>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合同期</w:t>
            </w:r>
          </w:p>
        </w:tc>
        <w:tc>
          <w:tcPr>
            <w:tcW w:w="857" w:type="pct"/>
            <w:vAlign w:val="center"/>
          </w:tcPr>
          <w:p w14:paraId="7DCE5604">
            <w:pPr>
              <w:widowControl w:val="0"/>
              <w:jc w:val="center"/>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最高限价</w:t>
            </w:r>
            <w:r>
              <w:rPr>
                <w:rFonts w:hint="eastAsia" w:ascii="宋体" w:hAnsi="宋体" w:cs="宋体"/>
                <w:b/>
                <w:bCs/>
                <w:color w:val="auto"/>
                <w:kern w:val="2"/>
                <w:sz w:val="22"/>
                <w:szCs w:val="22"/>
                <w:highlight w:val="none"/>
                <w:lang w:val="en-US" w:eastAsia="zh-CN" w:bidi="ar-SA"/>
              </w:rPr>
              <w:t>（折扣率限价）</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342" w:type="pct"/>
            <w:vMerge w:val="restart"/>
            <w:vAlign w:val="center"/>
          </w:tcPr>
          <w:p w14:paraId="19899579">
            <w:pPr>
              <w:widowControl w:val="0"/>
              <w:spacing w:line="440" w:lineRule="atLeas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804" w:type="pct"/>
            <w:vMerge w:val="restart"/>
            <w:tcBorders>
              <w:right w:val="single" w:color="auto" w:sz="4" w:space="0"/>
            </w:tcBorders>
            <w:vAlign w:val="center"/>
          </w:tcPr>
          <w:p w14:paraId="4D177A1B">
            <w:pPr>
              <w:jc w:val="center"/>
              <w:rPr>
                <w:rFonts w:hint="eastAsia" w:ascii="宋体" w:hAnsi="宋体" w:eastAsia="宋体" w:cs="宋体"/>
                <w:b w:val="0"/>
                <w:bCs w:val="0"/>
                <w:color w:val="auto"/>
                <w:sz w:val="22"/>
                <w:highlight w:val="none"/>
                <w:u w:val="none"/>
                <w:lang w:eastAsia="zh-CN"/>
              </w:rPr>
            </w:pPr>
            <w:r>
              <w:rPr>
                <w:rFonts w:hint="eastAsia" w:ascii="宋体" w:hAnsi="宋体" w:cs="宋体"/>
                <w:color w:val="auto"/>
                <w:kern w:val="0"/>
                <w:sz w:val="22"/>
                <w:szCs w:val="22"/>
                <w:highlight w:val="none"/>
                <w:lang w:val="en-US" w:eastAsia="zh-CN" w:bidi="ar-SA"/>
              </w:rPr>
              <w:t>质谱、微量元素、维生素等检测项目外送</w:t>
            </w:r>
          </w:p>
        </w:tc>
        <w:tc>
          <w:tcPr>
            <w:tcW w:w="591" w:type="pct"/>
            <w:tcBorders>
              <w:right w:val="single" w:color="000000" w:sz="4" w:space="0"/>
            </w:tcBorders>
            <w:vAlign w:val="center"/>
          </w:tcPr>
          <w:p w14:paraId="66C29418">
            <w:pPr>
              <w:jc w:val="center"/>
              <w:rPr>
                <w:rFonts w:hint="default" w:ascii="宋体" w:hAnsi="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序号1-8</w:t>
            </w:r>
          </w:p>
        </w:tc>
        <w:tc>
          <w:tcPr>
            <w:tcW w:w="1887" w:type="pct"/>
            <w:tcBorders>
              <w:left w:val="single" w:color="000000" w:sz="4" w:space="0"/>
            </w:tcBorders>
            <w:vAlign w:val="center"/>
          </w:tcPr>
          <w:p w14:paraId="36DC518F">
            <w:pPr>
              <w:widowControl w:val="0"/>
              <w:spacing w:line="440" w:lineRule="atLeast"/>
              <w:ind w:firstLine="446" w:firstLineChars="200"/>
              <w:jc w:val="both"/>
              <w:rPr>
                <w:rFonts w:hint="default"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none"/>
                <w:lang w:val="en-US" w:eastAsia="zh-CN" w:bidi="ar-SA"/>
              </w:rPr>
              <w:t>大写：</w:t>
            </w:r>
            <w:r>
              <w:rPr>
                <w:rFonts w:hint="eastAsia" w:ascii="宋体" w:hAnsi="宋体" w:cs="宋体"/>
                <w:color w:val="auto"/>
                <w:kern w:val="2"/>
                <w:sz w:val="22"/>
                <w:szCs w:val="22"/>
                <w:highlight w:val="none"/>
                <w:u w:val="none"/>
                <w:lang w:val="en-US" w:eastAsia="zh-CN" w:bidi="ar-SA"/>
              </w:rPr>
              <w:t>百分之</w:t>
            </w:r>
            <w:r>
              <w:rPr>
                <w:rFonts w:hint="eastAsia" w:ascii="宋体" w:hAnsi="宋体" w:cs="宋体"/>
                <w:color w:val="auto"/>
                <w:kern w:val="2"/>
                <w:sz w:val="22"/>
                <w:szCs w:val="22"/>
                <w:highlight w:val="none"/>
                <w:u w:val="single"/>
                <w:lang w:val="en-US" w:eastAsia="zh-CN" w:bidi="ar-SA"/>
              </w:rPr>
              <w:t xml:space="preserve">     </w:t>
            </w:r>
          </w:p>
          <w:p w14:paraId="467ACCBB">
            <w:pPr>
              <w:widowControl w:val="0"/>
              <w:spacing w:line="440" w:lineRule="atLeast"/>
              <w:ind w:firstLine="669" w:firstLineChars="300"/>
              <w:jc w:val="both"/>
              <w:rPr>
                <w:rFonts w:hint="eastAsia"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none"/>
                <w:lang w:val="en-US" w:eastAsia="zh-CN" w:bidi="ar-SA"/>
              </w:rPr>
              <w:t>小写：</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cs="宋体"/>
                <w:color w:val="auto"/>
                <w:kern w:val="2"/>
                <w:sz w:val="22"/>
                <w:szCs w:val="22"/>
                <w:highlight w:val="none"/>
                <w:u w:val="single"/>
                <w:lang w:val="en-US" w:eastAsia="zh-CN" w:bidi="ar-SA"/>
              </w:rPr>
              <w:t>%</w:t>
            </w:r>
          </w:p>
        </w:tc>
        <w:tc>
          <w:tcPr>
            <w:tcW w:w="516" w:type="pct"/>
            <w:vMerge w:val="restart"/>
            <w:vAlign w:val="center"/>
          </w:tcPr>
          <w:p w14:paraId="3163DBBC">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3年</w:t>
            </w:r>
          </w:p>
        </w:tc>
        <w:tc>
          <w:tcPr>
            <w:tcW w:w="857" w:type="pct"/>
            <w:vAlign w:val="center"/>
          </w:tcPr>
          <w:p w14:paraId="24F428BD">
            <w:pPr>
              <w:keepNext w:val="0"/>
              <w:keepLines w:val="0"/>
              <w:widowControl/>
              <w:suppressLineNumbers w:val="0"/>
              <w:jc w:val="center"/>
              <w:textAlignment w:val="center"/>
              <w:rPr>
                <w:rFonts w:hint="default" w:hAnsi="宋体" w:eastAsia="宋体" w:cs="宋体"/>
                <w:color w:val="auto"/>
                <w:sz w:val="22"/>
                <w:szCs w:val="22"/>
                <w:highlight w:val="yellow"/>
                <w:shd w:val="clear" w:color="auto" w:fill="FFFFFF"/>
                <w:lang w:val="en-US" w:eastAsia="zh-CN"/>
              </w:rPr>
            </w:pPr>
            <w:r>
              <w:rPr>
                <w:rFonts w:hint="eastAsia" w:hAnsi="宋体" w:cs="宋体"/>
                <w:color w:val="auto"/>
                <w:sz w:val="22"/>
                <w:szCs w:val="22"/>
                <w:highlight w:val="none"/>
                <w:shd w:val="clear" w:color="auto" w:fill="FFFFFF"/>
                <w:lang w:val="en-US" w:eastAsia="zh-CN"/>
              </w:rPr>
              <w:t>不得高于</w:t>
            </w:r>
            <w:r>
              <w:rPr>
                <w:rFonts w:hint="eastAsia" w:ascii="新宋体" w:hAnsi="新宋体" w:eastAsia="新宋体" w:cs="新宋体"/>
                <w:spacing w:val="-1"/>
                <w:kern w:val="0"/>
                <w:sz w:val="22"/>
                <w:szCs w:val="22"/>
                <w:highlight w:val="none"/>
                <w:lang w:val="en-US" w:eastAsia="zh-CN" w:bidi="ar-SA"/>
              </w:rPr>
              <w:t>5</w:t>
            </w:r>
            <w:r>
              <w:rPr>
                <w:rFonts w:ascii="新宋体" w:hAnsi="新宋体" w:eastAsia="新宋体" w:cs="新宋体"/>
                <w:spacing w:val="-1"/>
                <w:kern w:val="0"/>
                <w:sz w:val="22"/>
                <w:szCs w:val="22"/>
                <w:highlight w:val="none"/>
                <w:lang w:val="en-US" w:eastAsia="en-US" w:bidi="ar-SA"/>
              </w:rPr>
              <w:t>0%</w:t>
            </w:r>
          </w:p>
        </w:tc>
      </w:tr>
      <w:tr w14:paraId="3D5D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342" w:type="pct"/>
            <w:vMerge w:val="continue"/>
            <w:vAlign w:val="center"/>
          </w:tcPr>
          <w:p w14:paraId="7FFACC54">
            <w:pPr>
              <w:widowControl w:val="0"/>
              <w:spacing w:line="440" w:lineRule="atLeast"/>
              <w:jc w:val="center"/>
              <w:rPr>
                <w:rFonts w:hint="eastAsia" w:ascii="宋体" w:hAnsi="宋体" w:eastAsia="宋体" w:cs="宋体"/>
                <w:color w:val="auto"/>
                <w:kern w:val="2"/>
                <w:sz w:val="22"/>
                <w:szCs w:val="22"/>
                <w:highlight w:val="none"/>
                <w:lang w:val="en-US" w:eastAsia="zh-CN" w:bidi="ar-SA"/>
              </w:rPr>
            </w:pPr>
          </w:p>
        </w:tc>
        <w:tc>
          <w:tcPr>
            <w:tcW w:w="804" w:type="pct"/>
            <w:vMerge w:val="continue"/>
            <w:tcBorders>
              <w:right w:val="single" w:color="auto" w:sz="4" w:space="0"/>
            </w:tcBorders>
            <w:vAlign w:val="center"/>
          </w:tcPr>
          <w:p w14:paraId="0758BF04">
            <w:pPr>
              <w:jc w:val="center"/>
              <w:rPr>
                <w:rFonts w:hint="eastAsia" w:ascii="宋体" w:hAnsi="宋体" w:cs="宋体"/>
                <w:color w:val="auto"/>
                <w:kern w:val="0"/>
                <w:sz w:val="22"/>
                <w:szCs w:val="22"/>
                <w:highlight w:val="none"/>
                <w:lang w:val="en-US" w:eastAsia="zh-CN" w:bidi="ar-SA"/>
              </w:rPr>
            </w:pPr>
          </w:p>
        </w:tc>
        <w:tc>
          <w:tcPr>
            <w:tcW w:w="591" w:type="pct"/>
            <w:tcBorders>
              <w:right w:val="single" w:color="000000" w:sz="4" w:space="0"/>
            </w:tcBorders>
            <w:vAlign w:val="center"/>
          </w:tcPr>
          <w:p w14:paraId="2C5D228A">
            <w:pPr>
              <w:jc w:val="center"/>
              <w:rPr>
                <w:rFonts w:hint="default" w:ascii="宋体" w:hAnsi="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序号9</w:t>
            </w:r>
          </w:p>
        </w:tc>
        <w:tc>
          <w:tcPr>
            <w:tcW w:w="1887" w:type="pct"/>
            <w:tcBorders>
              <w:left w:val="single" w:color="000000" w:sz="4" w:space="0"/>
            </w:tcBorders>
            <w:vAlign w:val="center"/>
          </w:tcPr>
          <w:p w14:paraId="61C6ADB8">
            <w:pPr>
              <w:widowControl w:val="0"/>
              <w:spacing w:line="440" w:lineRule="atLeast"/>
              <w:ind w:firstLine="446" w:firstLineChars="200"/>
              <w:jc w:val="both"/>
              <w:rPr>
                <w:rFonts w:hint="default"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none"/>
                <w:lang w:val="en-US" w:eastAsia="zh-CN" w:bidi="ar-SA"/>
              </w:rPr>
              <w:t>大写：</w:t>
            </w:r>
            <w:r>
              <w:rPr>
                <w:rFonts w:hint="eastAsia" w:ascii="宋体" w:hAnsi="宋体" w:cs="宋体"/>
                <w:color w:val="auto"/>
                <w:kern w:val="2"/>
                <w:sz w:val="22"/>
                <w:szCs w:val="22"/>
                <w:highlight w:val="none"/>
                <w:u w:val="none"/>
                <w:lang w:val="en-US" w:eastAsia="zh-CN" w:bidi="ar-SA"/>
              </w:rPr>
              <w:t>百分之</w:t>
            </w:r>
            <w:r>
              <w:rPr>
                <w:rFonts w:hint="eastAsia" w:ascii="宋体" w:hAnsi="宋体" w:cs="宋体"/>
                <w:color w:val="auto"/>
                <w:kern w:val="2"/>
                <w:sz w:val="22"/>
                <w:szCs w:val="22"/>
                <w:highlight w:val="none"/>
                <w:u w:val="single"/>
                <w:lang w:val="en-US" w:eastAsia="zh-CN" w:bidi="ar-SA"/>
              </w:rPr>
              <w:t xml:space="preserve">     </w:t>
            </w:r>
          </w:p>
          <w:p w14:paraId="372AA3E1">
            <w:pPr>
              <w:widowControl w:val="0"/>
              <w:spacing w:line="440" w:lineRule="atLeast"/>
              <w:ind w:firstLine="446" w:firstLineChars="200"/>
              <w:jc w:val="both"/>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小写：</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cs="宋体"/>
                <w:color w:val="auto"/>
                <w:kern w:val="2"/>
                <w:sz w:val="22"/>
                <w:szCs w:val="22"/>
                <w:highlight w:val="none"/>
                <w:u w:val="single"/>
                <w:lang w:val="en-US" w:eastAsia="zh-CN" w:bidi="ar-SA"/>
              </w:rPr>
              <w:t>%</w:t>
            </w:r>
          </w:p>
        </w:tc>
        <w:tc>
          <w:tcPr>
            <w:tcW w:w="516" w:type="pct"/>
            <w:vMerge w:val="continue"/>
            <w:vAlign w:val="center"/>
          </w:tcPr>
          <w:p w14:paraId="7C2E56CE">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p>
        </w:tc>
        <w:tc>
          <w:tcPr>
            <w:tcW w:w="857" w:type="pct"/>
            <w:vAlign w:val="center"/>
          </w:tcPr>
          <w:p w14:paraId="1362ADC7">
            <w:pPr>
              <w:keepNext w:val="0"/>
              <w:keepLines w:val="0"/>
              <w:widowControl/>
              <w:suppressLineNumbers w:val="0"/>
              <w:jc w:val="center"/>
              <w:textAlignment w:val="center"/>
              <w:rPr>
                <w:rFonts w:hint="eastAsia" w:hAnsi="宋体" w:cs="宋体"/>
                <w:color w:val="auto"/>
                <w:sz w:val="22"/>
                <w:szCs w:val="22"/>
                <w:highlight w:val="yellow"/>
                <w:shd w:val="clear" w:color="auto" w:fill="FFFFFF"/>
                <w:lang w:val="en-US" w:eastAsia="zh-CN"/>
              </w:rPr>
            </w:pPr>
            <w:bookmarkStart w:id="36" w:name="_GoBack"/>
            <w:bookmarkEnd w:id="36"/>
          </w:p>
        </w:tc>
      </w:tr>
      <w:tr w14:paraId="4BDF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342" w:type="pct"/>
            <w:vMerge w:val="continue"/>
            <w:vAlign w:val="center"/>
          </w:tcPr>
          <w:p w14:paraId="50FBF610">
            <w:pPr>
              <w:widowControl w:val="0"/>
              <w:spacing w:line="440" w:lineRule="atLeast"/>
              <w:jc w:val="center"/>
              <w:rPr>
                <w:rFonts w:hint="eastAsia" w:ascii="宋体" w:hAnsi="宋体" w:eastAsia="宋体" w:cs="宋体"/>
                <w:color w:val="auto"/>
                <w:kern w:val="2"/>
                <w:sz w:val="22"/>
                <w:szCs w:val="22"/>
                <w:highlight w:val="none"/>
                <w:lang w:val="en-US" w:eastAsia="zh-CN" w:bidi="ar-SA"/>
              </w:rPr>
            </w:pPr>
          </w:p>
        </w:tc>
        <w:tc>
          <w:tcPr>
            <w:tcW w:w="804" w:type="pct"/>
            <w:vMerge w:val="continue"/>
            <w:tcBorders>
              <w:right w:val="single" w:color="auto" w:sz="4" w:space="0"/>
            </w:tcBorders>
            <w:vAlign w:val="center"/>
          </w:tcPr>
          <w:p w14:paraId="785ACDD8">
            <w:pPr>
              <w:jc w:val="center"/>
              <w:rPr>
                <w:rFonts w:hint="eastAsia" w:ascii="宋体" w:hAnsi="宋体" w:cs="宋体"/>
                <w:color w:val="auto"/>
                <w:kern w:val="0"/>
                <w:sz w:val="22"/>
                <w:szCs w:val="22"/>
                <w:highlight w:val="none"/>
                <w:lang w:val="en-US" w:eastAsia="zh-CN" w:bidi="ar-SA"/>
              </w:rPr>
            </w:pPr>
          </w:p>
        </w:tc>
        <w:tc>
          <w:tcPr>
            <w:tcW w:w="591" w:type="pct"/>
            <w:tcBorders>
              <w:right w:val="single" w:color="000000" w:sz="4" w:space="0"/>
            </w:tcBorders>
            <w:vAlign w:val="center"/>
          </w:tcPr>
          <w:p w14:paraId="189770D8">
            <w:pPr>
              <w:jc w:val="center"/>
              <w:rPr>
                <w:rFonts w:hint="default" w:ascii="宋体" w:hAnsi="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序号10</w:t>
            </w:r>
          </w:p>
        </w:tc>
        <w:tc>
          <w:tcPr>
            <w:tcW w:w="1887" w:type="pct"/>
            <w:tcBorders>
              <w:left w:val="single" w:color="000000" w:sz="4" w:space="0"/>
            </w:tcBorders>
            <w:vAlign w:val="center"/>
          </w:tcPr>
          <w:p w14:paraId="4C4F6E44">
            <w:pPr>
              <w:widowControl w:val="0"/>
              <w:spacing w:line="440" w:lineRule="atLeast"/>
              <w:ind w:firstLine="446" w:firstLineChars="200"/>
              <w:jc w:val="both"/>
              <w:rPr>
                <w:rFonts w:hint="default"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none"/>
                <w:lang w:val="en-US" w:eastAsia="zh-CN" w:bidi="ar-SA"/>
              </w:rPr>
              <w:t>大写：</w:t>
            </w:r>
            <w:r>
              <w:rPr>
                <w:rFonts w:hint="eastAsia" w:ascii="宋体" w:hAnsi="宋体" w:cs="宋体"/>
                <w:color w:val="auto"/>
                <w:kern w:val="2"/>
                <w:sz w:val="22"/>
                <w:szCs w:val="22"/>
                <w:highlight w:val="none"/>
                <w:u w:val="none"/>
                <w:lang w:val="en-US" w:eastAsia="zh-CN" w:bidi="ar-SA"/>
              </w:rPr>
              <w:t>百分之</w:t>
            </w:r>
            <w:r>
              <w:rPr>
                <w:rFonts w:hint="eastAsia" w:ascii="宋体" w:hAnsi="宋体" w:cs="宋体"/>
                <w:color w:val="auto"/>
                <w:kern w:val="2"/>
                <w:sz w:val="22"/>
                <w:szCs w:val="22"/>
                <w:highlight w:val="none"/>
                <w:u w:val="single"/>
                <w:lang w:val="en-US" w:eastAsia="zh-CN" w:bidi="ar-SA"/>
              </w:rPr>
              <w:t xml:space="preserve">     </w:t>
            </w:r>
          </w:p>
          <w:p w14:paraId="2DF7333E">
            <w:pPr>
              <w:widowControl w:val="0"/>
              <w:spacing w:line="440" w:lineRule="atLeast"/>
              <w:ind w:firstLine="669" w:firstLineChars="300"/>
              <w:jc w:val="both"/>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小写：</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cs="宋体"/>
                <w:color w:val="auto"/>
                <w:kern w:val="2"/>
                <w:sz w:val="22"/>
                <w:szCs w:val="22"/>
                <w:highlight w:val="none"/>
                <w:u w:val="single"/>
                <w:lang w:val="en-US" w:eastAsia="zh-CN" w:bidi="ar-SA"/>
              </w:rPr>
              <w:t>%</w:t>
            </w:r>
          </w:p>
        </w:tc>
        <w:tc>
          <w:tcPr>
            <w:tcW w:w="516" w:type="pct"/>
            <w:vMerge w:val="continue"/>
            <w:vAlign w:val="center"/>
          </w:tcPr>
          <w:p w14:paraId="2A2B7BDF">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p>
        </w:tc>
        <w:tc>
          <w:tcPr>
            <w:tcW w:w="857" w:type="pct"/>
            <w:vAlign w:val="center"/>
          </w:tcPr>
          <w:p w14:paraId="6411A5E1">
            <w:pPr>
              <w:keepNext w:val="0"/>
              <w:keepLines w:val="0"/>
              <w:widowControl/>
              <w:suppressLineNumbers w:val="0"/>
              <w:jc w:val="center"/>
              <w:textAlignment w:val="center"/>
              <w:rPr>
                <w:rFonts w:hint="eastAsia" w:hAnsi="宋体" w:cs="宋体"/>
                <w:color w:val="auto"/>
                <w:sz w:val="22"/>
                <w:szCs w:val="22"/>
                <w:highlight w:val="yellow"/>
                <w:shd w:val="clear" w:color="auto" w:fill="FFFFFF"/>
                <w:lang w:val="en-US" w:eastAsia="zh-CN"/>
              </w:rPr>
            </w:pPr>
          </w:p>
        </w:tc>
      </w:tr>
      <w:tr w14:paraId="6E96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342" w:type="pct"/>
            <w:vMerge w:val="continue"/>
            <w:vAlign w:val="center"/>
          </w:tcPr>
          <w:p w14:paraId="49C4B8A2">
            <w:pPr>
              <w:widowControl w:val="0"/>
              <w:spacing w:line="440" w:lineRule="atLeast"/>
              <w:jc w:val="center"/>
              <w:rPr>
                <w:rFonts w:hint="eastAsia" w:ascii="宋体" w:hAnsi="宋体" w:eastAsia="宋体" w:cs="宋体"/>
                <w:color w:val="auto"/>
                <w:kern w:val="2"/>
                <w:sz w:val="22"/>
                <w:szCs w:val="22"/>
                <w:highlight w:val="none"/>
                <w:lang w:val="en-US" w:eastAsia="zh-CN" w:bidi="ar-SA"/>
              </w:rPr>
            </w:pPr>
          </w:p>
        </w:tc>
        <w:tc>
          <w:tcPr>
            <w:tcW w:w="804" w:type="pct"/>
            <w:vMerge w:val="continue"/>
            <w:tcBorders>
              <w:right w:val="single" w:color="auto" w:sz="4" w:space="0"/>
            </w:tcBorders>
            <w:vAlign w:val="center"/>
          </w:tcPr>
          <w:p w14:paraId="5EB4CA64">
            <w:pPr>
              <w:jc w:val="center"/>
              <w:rPr>
                <w:rFonts w:hint="eastAsia" w:ascii="宋体" w:hAnsi="宋体" w:cs="宋体"/>
                <w:color w:val="auto"/>
                <w:kern w:val="0"/>
                <w:sz w:val="22"/>
                <w:szCs w:val="22"/>
                <w:highlight w:val="none"/>
                <w:lang w:val="en-US" w:eastAsia="zh-CN" w:bidi="ar-SA"/>
              </w:rPr>
            </w:pPr>
          </w:p>
        </w:tc>
        <w:tc>
          <w:tcPr>
            <w:tcW w:w="591" w:type="pct"/>
            <w:tcBorders>
              <w:right w:val="single" w:color="000000" w:sz="4" w:space="0"/>
            </w:tcBorders>
            <w:vAlign w:val="center"/>
          </w:tcPr>
          <w:p w14:paraId="62313BD4">
            <w:pPr>
              <w:jc w:val="center"/>
              <w:rPr>
                <w:rFonts w:hint="default" w:ascii="宋体" w:hAnsi="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序号11</w:t>
            </w:r>
          </w:p>
        </w:tc>
        <w:tc>
          <w:tcPr>
            <w:tcW w:w="1887" w:type="pct"/>
            <w:tcBorders>
              <w:left w:val="single" w:color="000000" w:sz="4" w:space="0"/>
            </w:tcBorders>
            <w:vAlign w:val="center"/>
          </w:tcPr>
          <w:p w14:paraId="421C3CDD">
            <w:pPr>
              <w:widowControl w:val="0"/>
              <w:spacing w:line="440" w:lineRule="atLeast"/>
              <w:ind w:firstLine="446" w:firstLineChars="200"/>
              <w:jc w:val="both"/>
              <w:rPr>
                <w:rFonts w:hint="default"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none"/>
                <w:lang w:val="en-US" w:eastAsia="zh-CN" w:bidi="ar-SA"/>
              </w:rPr>
              <w:t>大写：</w:t>
            </w:r>
            <w:r>
              <w:rPr>
                <w:rFonts w:hint="eastAsia" w:ascii="宋体" w:hAnsi="宋体" w:cs="宋体"/>
                <w:color w:val="auto"/>
                <w:kern w:val="2"/>
                <w:sz w:val="22"/>
                <w:szCs w:val="22"/>
                <w:highlight w:val="none"/>
                <w:u w:val="none"/>
                <w:lang w:val="en-US" w:eastAsia="zh-CN" w:bidi="ar-SA"/>
              </w:rPr>
              <w:t>百分之</w:t>
            </w:r>
            <w:r>
              <w:rPr>
                <w:rFonts w:hint="eastAsia" w:ascii="宋体" w:hAnsi="宋体" w:cs="宋体"/>
                <w:color w:val="auto"/>
                <w:kern w:val="2"/>
                <w:sz w:val="22"/>
                <w:szCs w:val="22"/>
                <w:highlight w:val="none"/>
                <w:u w:val="single"/>
                <w:lang w:val="en-US" w:eastAsia="zh-CN" w:bidi="ar-SA"/>
              </w:rPr>
              <w:t xml:space="preserve">     </w:t>
            </w:r>
          </w:p>
          <w:p w14:paraId="26A46251">
            <w:pPr>
              <w:widowControl w:val="0"/>
              <w:spacing w:line="440" w:lineRule="atLeast"/>
              <w:ind w:firstLine="446" w:firstLineChars="200"/>
              <w:jc w:val="both"/>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小写：</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cs="宋体"/>
                <w:color w:val="auto"/>
                <w:kern w:val="2"/>
                <w:sz w:val="22"/>
                <w:szCs w:val="22"/>
                <w:highlight w:val="none"/>
                <w:u w:val="single"/>
                <w:lang w:val="en-US" w:eastAsia="zh-CN" w:bidi="ar-SA"/>
              </w:rPr>
              <w:t>%</w:t>
            </w:r>
          </w:p>
        </w:tc>
        <w:tc>
          <w:tcPr>
            <w:tcW w:w="516" w:type="pct"/>
            <w:vMerge w:val="continue"/>
            <w:vAlign w:val="center"/>
          </w:tcPr>
          <w:p w14:paraId="6B3A9991">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p>
        </w:tc>
        <w:tc>
          <w:tcPr>
            <w:tcW w:w="857" w:type="pct"/>
            <w:vAlign w:val="center"/>
          </w:tcPr>
          <w:p w14:paraId="61AD5B1C">
            <w:pPr>
              <w:keepNext w:val="0"/>
              <w:keepLines w:val="0"/>
              <w:widowControl/>
              <w:suppressLineNumbers w:val="0"/>
              <w:jc w:val="center"/>
              <w:textAlignment w:val="center"/>
              <w:rPr>
                <w:rFonts w:hint="eastAsia" w:hAnsi="宋体" w:cs="宋体"/>
                <w:color w:val="auto"/>
                <w:sz w:val="22"/>
                <w:szCs w:val="22"/>
                <w:highlight w:val="yellow"/>
                <w:shd w:val="clear" w:color="auto" w:fill="FFFFFF"/>
                <w:lang w:val="en-US" w:eastAsia="zh-CN"/>
              </w:rPr>
            </w:pPr>
          </w:p>
        </w:tc>
      </w:tr>
      <w:tr w14:paraId="62CA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trPr>
        <w:tc>
          <w:tcPr>
            <w:tcW w:w="342" w:type="pct"/>
            <w:shd w:val="clear" w:color="auto" w:fill="auto"/>
            <w:vAlign w:val="center"/>
          </w:tcPr>
          <w:p w14:paraId="784A1464">
            <w:pPr>
              <w:widowControl w:val="0"/>
              <w:spacing w:line="440" w:lineRule="atLeas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p>
        </w:tc>
        <w:tc>
          <w:tcPr>
            <w:tcW w:w="804" w:type="pct"/>
            <w:tcBorders>
              <w:right w:val="single" w:color="auto" w:sz="4" w:space="0"/>
            </w:tcBorders>
            <w:vAlign w:val="center"/>
          </w:tcPr>
          <w:p w14:paraId="2E8CA7DC">
            <w:pPr>
              <w:jc w:val="center"/>
              <w:rPr>
                <w:rFonts w:hint="eastAsia" w:ascii="宋体" w:hAnsi="宋体" w:eastAsia="宋体" w:cs="宋体"/>
                <w:b w:val="0"/>
                <w:bCs w:val="0"/>
                <w:color w:val="auto"/>
                <w:sz w:val="22"/>
                <w:highlight w:val="none"/>
                <w:u w:val="none"/>
                <w:lang w:eastAsia="zh-CN"/>
              </w:rPr>
            </w:pPr>
            <w:r>
              <w:rPr>
                <w:rFonts w:hint="eastAsia" w:ascii="宋体" w:hAnsi="宋体" w:cs="宋体"/>
                <w:color w:val="auto"/>
                <w:kern w:val="0"/>
                <w:sz w:val="22"/>
                <w:szCs w:val="22"/>
                <w:highlight w:val="none"/>
                <w:lang w:val="en-US" w:eastAsia="zh-CN" w:bidi="ar-SA"/>
              </w:rPr>
              <w:t>抗感染细胞功能检测项目等检测项目外送</w:t>
            </w:r>
          </w:p>
        </w:tc>
        <w:tc>
          <w:tcPr>
            <w:tcW w:w="591" w:type="pct"/>
            <w:tcBorders>
              <w:right w:val="single" w:color="000000" w:sz="4" w:space="0"/>
            </w:tcBorders>
            <w:vAlign w:val="center"/>
          </w:tcPr>
          <w:p w14:paraId="5ED13F34">
            <w:pPr>
              <w:jc w:val="center"/>
              <w:rPr>
                <w:rFonts w:hint="default" w:ascii="宋体" w:hAnsi="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序号1-4</w:t>
            </w:r>
          </w:p>
        </w:tc>
        <w:tc>
          <w:tcPr>
            <w:tcW w:w="1887" w:type="pct"/>
            <w:tcBorders>
              <w:left w:val="single" w:color="000000" w:sz="4" w:space="0"/>
            </w:tcBorders>
            <w:vAlign w:val="center"/>
          </w:tcPr>
          <w:p w14:paraId="20441C93">
            <w:pPr>
              <w:widowControl w:val="0"/>
              <w:spacing w:line="440" w:lineRule="atLeast"/>
              <w:ind w:firstLine="446" w:firstLineChars="200"/>
              <w:jc w:val="both"/>
              <w:rPr>
                <w:rFonts w:hint="default"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none"/>
                <w:lang w:val="en-US" w:eastAsia="zh-CN" w:bidi="ar-SA"/>
              </w:rPr>
              <w:t>大写：百分之</w:t>
            </w:r>
            <w:r>
              <w:rPr>
                <w:rFonts w:hint="eastAsia" w:ascii="宋体" w:hAnsi="宋体" w:eastAsia="宋体" w:cs="宋体"/>
                <w:color w:val="auto"/>
                <w:kern w:val="2"/>
                <w:sz w:val="22"/>
                <w:szCs w:val="22"/>
                <w:highlight w:val="none"/>
                <w:u w:val="single"/>
                <w:lang w:val="en-US" w:eastAsia="zh-CN" w:bidi="ar-SA"/>
              </w:rPr>
              <w:t xml:space="preserve">     </w:t>
            </w:r>
          </w:p>
          <w:p w14:paraId="77C919F1">
            <w:pPr>
              <w:widowControl w:val="0"/>
              <w:spacing w:line="440" w:lineRule="atLeast"/>
              <w:ind w:firstLine="669" w:firstLineChars="300"/>
              <w:jc w:val="both"/>
              <w:rPr>
                <w:rFonts w:hint="eastAsia"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none"/>
                <w:lang w:val="en-US" w:eastAsia="zh-CN" w:bidi="ar-SA"/>
              </w:rPr>
              <w:t>小写：</w:t>
            </w:r>
            <w:r>
              <w:rPr>
                <w:rFonts w:hint="eastAsia" w:ascii="宋体" w:hAnsi="宋体" w:eastAsia="宋体" w:cs="宋体"/>
                <w:color w:val="auto"/>
                <w:kern w:val="2"/>
                <w:sz w:val="22"/>
                <w:szCs w:val="22"/>
                <w:highlight w:val="none"/>
                <w:u w:val="single"/>
                <w:lang w:val="en-US" w:eastAsia="zh-CN" w:bidi="ar-SA"/>
              </w:rPr>
              <w:t xml:space="preserve">       %</w:t>
            </w:r>
          </w:p>
        </w:tc>
        <w:tc>
          <w:tcPr>
            <w:tcW w:w="516" w:type="pct"/>
            <w:vAlign w:val="center"/>
          </w:tcPr>
          <w:p w14:paraId="63D22FD2">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3年</w:t>
            </w:r>
          </w:p>
        </w:tc>
        <w:tc>
          <w:tcPr>
            <w:tcW w:w="857" w:type="pct"/>
            <w:vAlign w:val="center"/>
          </w:tcPr>
          <w:p w14:paraId="0B2A2CE7">
            <w:pPr>
              <w:keepNext w:val="0"/>
              <w:keepLines w:val="0"/>
              <w:widowControl/>
              <w:suppressLineNumbers w:val="0"/>
              <w:jc w:val="center"/>
              <w:textAlignment w:val="center"/>
              <w:rPr>
                <w:rFonts w:hint="eastAsia" w:hAnsi="宋体" w:eastAsia="宋体" w:cs="宋体"/>
                <w:color w:val="auto"/>
                <w:sz w:val="22"/>
                <w:szCs w:val="22"/>
                <w:highlight w:val="yellow"/>
                <w:shd w:val="clear" w:color="auto" w:fill="FFFFFF"/>
              </w:rPr>
            </w:pPr>
            <w:r>
              <w:rPr>
                <w:rFonts w:hint="eastAsia" w:hAnsi="宋体" w:cs="宋体"/>
                <w:color w:val="auto"/>
                <w:sz w:val="22"/>
                <w:szCs w:val="22"/>
                <w:highlight w:val="none"/>
                <w:shd w:val="clear" w:color="auto" w:fill="FFFFFF"/>
                <w:lang w:val="en-US" w:eastAsia="zh-CN"/>
              </w:rPr>
              <w:t>不得高于</w:t>
            </w:r>
            <w:r>
              <w:rPr>
                <w:rFonts w:hint="eastAsia" w:ascii="新宋体" w:hAnsi="新宋体" w:eastAsia="新宋体" w:cs="新宋体"/>
                <w:spacing w:val="-1"/>
                <w:kern w:val="0"/>
                <w:sz w:val="22"/>
                <w:szCs w:val="22"/>
                <w:highlight w:val="none"/>
                <w:lang w:val="en-US" w:eastAsia="zh-CN" w:bidi="ar-SA"/>
              </w:rPr>
              <w:t>6</w:t>
            </w:r>
            <w:r>
              <w:rPr>
                <w:rFonts w:ascii="新宋体" w:hAnsi="新宋体" w:eastAsia="新宋体" w:cs="新宋体"/>
                <w:spacing w:val="-1"/>
                <w:kern w:val="0"/>
                <w:sz w:val="22"/>
                <w:szCs w:val="22"/>
                <w:highlight w:val="none"/>
                <w:lang w:val="en-US" w:eastAsia="en-US" w:bidi="ar-SA"/>
              </w:rPr>
              <w:t>0%</w:t>
            </w:r>
          </w:p>
        </w:tc>
      </w:tr>
    </w:tbl>
    <w:p w14:paraId="6EE36F07">
      <w:pPr>
        <w:numPr>
          <w:ilvl w:val="0"/>
          <w:numId w:val="13"/>
        </w:numPr>
        <w:autoSpaceDE w:val="0"/>
        <w:autoSpaceDN w:val="0"/>
        <w:spacing w:line="360" w:lineRule="auto"/>
        <w:rPr>
          <w:rFonts w:hint="eastAsia" w:hAnsi="宋体" w:eastAsia="宋体"/>
          <w:b/>
          <w:bCs/>
          <w:color w:val="auto"/>
          <w:sz w:val="22"/>
          <w:szCs w:val="22"/>
          <w:highlight w:val="none"/>
          <w:u w:val="single"/>
          <w:lang w:val="en-US" w:eastAsia="zh-CN"/>
        </w:rPr>
      </w:pPr>
      <w:r>
        <w:rPr>
          <w:rFonts w:hint="eastAsia" w:hAnsi="宋体" w:eastAsia="宋体"/>
          <w:b/>
          <w:bCs/>
          <w:color w:val="auto"/>
          <w:sz w:val="22"/>
          <w:szCs w:val="22"/>
          <w:highlight w:val="none"/>
          <w:u w:val="single"/>
          <w:lang w:val="en-US" w:eastAsia="zh-CN"/>
        </w:rPr>
        <w:t>供应商可以选择标项投标，填写所投标项的投标报价，未投的标项</w:t>
      </w:r>
      <w:r>
        <w:rPr>
          <w:rFonts w:hint="eastAsia" w:hAnsi="宋体"/>
          <w:b/>
          <w:bCs/>
          <w:color w:val="auto"/>
          <w:sz w:val="22"/>
          <w:szCs w:val="22"/>
          <w:highlight w:val="none"/>
          <w:u w:val="single"/>
          <w:lang w:val="en-US" w:eastAsia="zh-CN"/>
        </w:rPr>
        <w:t>可不填写</w:t>
      </w:r>
      <w:r>
        <w:rPr>
          <w:rFonts w:hint="eastAsia" w:hAnsi="宋体" w:eastAsia="宋体"/>
          <w:b/>
          <w:bCs/>
          <w:color w:val="auto"/>
          <w:sz w:val="22"/>
          <w:szCs w:val="22"/>
          <w:highlight w:val="none"/>
          <w:u w:val="single"/>
          <w:lang w:val="en-US" w:eastAsia="zh-CN"/>
        </w:rPr>
        <w:t>。</w:t>
      </w:r>
    </w:p>
    <w:p w14:paraId="51793789">
      <w:pPr>
        <w:numPr>
          <w:ilvl w:val="0"/>
          <w:numId w:val="13"/>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lang w:val="en-US" w:eastAsia="zh-CN"/>
        </w:rPr>
        <w:t>本表采用折扣率方</w:t>
      </w:r>
      <w:r>
        <w:rPr>
          <w:rFonts w:hint="eastAsia" w:ascii="宋体" w:hAnsi="宋体" w:eastAsia="宋体" w:cs="宋体"/>
          <w:b/>
          <w:bCs/>
          <w:color w:val="auto"/>
          <w:sz w:val="22"/>
          <w:highlight w:val="none"/>
          <w:u w:val="single"/>
          <w:lang w:val="en-US" w:eastAsia="zh-CN"/>
        </w:rPr>
        <w:t>式报价，</w:t>
      </w:r>
      <w:r>
        <w:rPr>
          <w:rFonts w:hint="eastAsia" w:ascii="宋体" w:hAnsi="宋体" w:eastAsia="宋体" w:cs="宋体"/>
          <w:b/>
          <w:bCs/>
          <w:color w:val="auto"/>
          <w:sz w:val="22"/>
          <w:highlight w:val="none"/>
          <w:u w:val="single"/>
          <w:lang w:val="en-US" w:eastAsia="en-US"/>
        </w:rPr>
        <w:t>折扣率最多保留一位小数</w:t>
      </w:r>
      <w:r>
        <w:rPr>
          <w:rFonts w:hint="eastAsia" w:ascii="宋体" w:hAnsi="宋体" w:eastAsia="宋体" w:cs="宋体"/>
          <w:b/>
          <w:bCs/>
          <w:color w:val="auto"/>
          <w:sz w:val="22"/>
          <w:highlight w:val="none"/>
          <w:u w:val="single"/>
          <w:lang w:val="en-US" w:eastAsia="zh-CN"/>
        </w:rPr>
        <w:t>。</w:t>
      </w:r>
    </w:p>
    <w:p w14:paraId="493FF74F">
      <w:pPr>
        <w:numPr>
          <w:ilvl w:val="0"/>
          <w:numId w:val="13"/>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不提供此表格的将视为没有实质性响应招标文件</w:t>
      </w:r>
      <w:r>
        <w:rPr>
          <w:rFonts w:hint="eastAsia" w:ascii="宋体" w:hAnsi="宋体" w:cs="宋体"/>
          <w:color w:val="auto"/>
          <w:sz w:val="22"/>
          <w:highlight w:val="none"/>
        </w:rPr>
        <w:t>。</w:t>
      </w:r>
    </w:p>
    <w:p w14:paraId="0C6D0207">
      <w:pPr>
        <w:pStyle w:val="16"/>
        <w:spacing w:line="440" w:lineRule="atLeast"/>
        <w:rPr>
          <w:rFonts w:hint="eastAsia" w:hAnsi="宋体" w:cs="宋体"/>
          <w:color w:val="auto"/>
          <w:sz w:val="22"/>
          <w:highlight w:val="none"/>
        </w:rPr>
      </w:pPr>
    </w:p>
    <w:p w14:paraId="2B69179E">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泰顺县人民医院（泰顺县人民医院医共体）检测项目外送服务 </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TSCG202511008 </w:t>
            </w:r>
          </w:p>
        </w:tc>
      </w:tr>
      <w:tr w14:paraId="5797FFD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3408C1D">
            <w:pPr>
              <w:snapToGrid w:val="0"/>
              <w:spacing w:line="600" w:lineRule="atLeast"/>
              <w:rPr>
                <w:rFonts w:hint="default" w:ascii="宋体" w:hAnsi="宋体" w:eastAsia="宋体" w:cs="宋体"/>
                <w:b/>
                <w:color w:val="auto"/>
                <w:sz w:val="26"/>
                <w:szCs w:val="26"/>
                <w:highlight w:val="none"/>
                <w:u w:val="single"/>
                <w:lang w:val="en-US" w:eastAsia="zh-CN"/>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427EC9D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751FC504">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二</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泰顺县人民医院（泰顺县人民医院医共体）检测项目外送服务 （</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 xml:space="preserve">TSCG202511008 </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三</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28" w:name="_Toc32552_WPSOffice_Level3"/>
      <w:r>
        <w:rPr>
          <w:rFonts w:hint="eastAsia" w:ascii="宋体" w:hAnsi="宋体" w:cs="宋体"/>
          <w:b/>
          <w:bCs/>
          <w:color w:val="auto"/>
          <w:sz w:val="32"/>
          <w:highlight w:val="none"/>
          <w:lang w:val="zh-CN"/>
        </w:rPr>
        <w:t>法定代表人授权书</w:t>
      </w:r>
      <w:bookmarkEnd w:id="28"/>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泰顺县人民医院（泰顺县人民医院医共体）检测项目外送服务 </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TSCG202511008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6"/>
              <w:adjustRightInd w:val="0"/>
              <w:snapToGrid w:val="0"/>
              <w:spacing w:line="360" w:lineRule="exact"/>
              <w:jc w:val="center"/>
              <w:rPr>
                <w:rFonts w:hAnsi="宋体" w:cs="宋体"/>
                <w:b/>
                <w:bCs/>
                <w:color w:val="auto"/>
                <w:kern w:val="2"/>
                <w:sz w:val="22"/>
                <w:szCs w:val="22"/>
                <w:highlight w:val="none"/>
              </w:rPr>
            </w:pPr>
          </w:p>
          <w:p w14:paraId="2D703F0B">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6"/>
              <w:adjustRightInd w:val="0"/>
              <w:snapToGrid w:val="0"/>
              <w:spacing w:line="360" w:lineRule="exact"/>
              <w:jc w:val="center"/>
              <w:rPr>
                <w:rFonts w:hAnsi="宋体" w:cs="宋体"/>
                <w:b/>
                <w:bCs/>
                <w:color w:val="auto"/>
                <w:kern w:val="2"/>
                <w:sz w:val="22"/>
                <w:szCs w:val="22"/>
                <w:highlight w:val="none"/>
              </w:rPr>
            </w:pPr>
          </w:p>
        </w:tc>
      </w:tr>
    </w:tbl>
    <w:p w14:paraId="0E47564B">
      <w:pPr>
        <w:pStyle w:val="16"/>
        <w:adjustRightInd w:val="0"/>
        <w:snapToGrid w:val="0"/>
        <w:spacing w:line="360" w:lineRule="exact"/>
        <w:jc w:val="center"/>
        <w:rPr>
          <w:rFonts w:hAnsi="宋体" w:cs="宋体"/>
          <w:color w:val="auto"/>
          <w:sz w:val="22"/>
          <w:highlight w:val="none"/>
          <w:lang w:val="zh-CN"/>
        </w:rPr>
      </w:pPr>
    </w:p>
    <w:p w14:paraId="0846CD19">
      <w:pPr>
        <w:pStyle w:val="16"/>
        <w:adjustRightInd w:val="0"/>
        <w:snapToGrid w:val="0"/>
        <w:spacing w:line="360" w:lineRule="exact"/>
        <w:jc w:val="center"/>
        <w:rPr>
          <w:rFonts w:hAnsi="宋体" w:cs="宋体"/>
          <w:color w:val="auto"/>
          <w:sz w:val="22"/>
          <w:highlight w:val="none"/>
          <w:lang w:val="zh-CN"/>
        </w:rPr>
      </w:pPr>
    </w:p>
    <w:p w14:paraId="07C71A4E">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6"/>
              <w:adjustRightInd w:val="0"/>
              <w:snapToGrid w:val="0"/>
              <w:spacing w:line="360" w:lineRule="exact"/>
              <w:jc w:val="center"/>
              <w:rPr>
                <w:rFonts w:hAnsi="宋体" w:cs="宋体"/>
                <w:b/>
                <w:bCs/>
                <w:color w:val="auto"/>
                <w:kern w:val="2"/>
                <w:sz w:val="22"/>
                <w:szCs w:val="22"/>
                <w:highlight w:val="none"/>
              </w:rPr>
            </w:pPr>
          </w:p>
          <w:p w14:paraId="2C08BA59">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6"/>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泰顺县人民医院（泰顺县人民医院医共体）检测项目外送服务 </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TSCG202511008 </w:t>
            </w:r>
          </w:p>
        </w:tc>
      </w:tr>
      <w:tr w14:paraId="3967107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4B4F5E9">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0E34921">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AB8204E">
      <w:pPr>
        <w:spacing w:line="360" w:lineRule="exact"/>
        <w:jc w:val="left"/>
        <w:rPr>
          <w:rFonts w:hint="eastAsia" w:ascii="宋体" w:hAnsi="宋体" w:cs="宋体"/>
          <w:b/>
          <w:bCs/>
          <w:color w:val="auto"/>
          <w:sz w:val="30"/>
          <w:highlight w:val="none"/>
        </w:rPr>
      </w:pPr>
    </w:p>
    <w:p w14:paraId="6D554F35">
      <w:pPr>
        <w:spacing w:line="360" w:lineRule="exact"/>
        <w:jc w:val="left"/>
        <w:rPr>
          <w:rFonts w:hint="eastAsia" w:ascii="宋体" w:hAnsi="宋体" w:cs="宋体"/>
          <w:b/>
          <w:bCs/>
          <w:color w:val="auto"/>
          <w:sz w:val="30"/>
          <w:highlight w:val="none"/>
        </w:rPr>
      </w:pPr>
    </w:p>
    <w:p w14:paraId="5BBAF58D">
      <w:pPr>
        <w:spacing w:line="360" w:lineRule="exact"/>
        <w:jc w:val="left"/>
        <w:rPr>
          <w:rFonts w:hint="eastAsia" w:ascii="宋体" w:hAnsi="宋体" w:cs="宋体"/>
          <w:b/>
          <w:bCs/>
          <w:color w:val="auto"/>
          <w:sz w:val="30"/>
          <w:highlight w:val="none"/>
        </w:rPr>
      </w:pPr>
    </w:p>
    <w:p w14:paraId="550C78DE">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2525B065">
      <w:pPr>
        <w:pStyle w:val="11"/>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29"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29"/>
    </w:p>
    <w:p w14:paraId="4E2BF600">
      <w:pPr>
        <w:autoSpaceDE w:val="0"/>
        <w:autoSpaceDN w:val="0"/>
        <w:adjustRightInd w:val="0"/>
        <w:spacing w:line="360" w:lineRule="exact"/>
        <w:rPr>
          <w:rFonts w:ascii="宋体" w:hAnsi="宋体" w:cs="宋体"/>
          <w:color w:val="auto"/>
          <w:sz w:val="36"/>
          <w:highlight w:val="none"/>
          <w:lang w:val="zh-CN"/>
        </w:rPr>
      </w:pPr>
    </w:p>
    <w:p w14:paraId="6ECF879E">
      <w:pPr>
        <w:pStyle w:val="16"/>
        <w:rPr>
          <w:rFonts w:hAnsi="宋体" w:cs="宋体"/>
          <w:color w:val="auto"/>
          <w:sz w:val="22"/>
          <w:highlight w:val="none"/>
          <w:u w:val="single"/>
        </w:rPr>
      </w:pPr>
      <w:r>
        <w:rPr>
          <w:rFonts w:hint="eastAsia" w:hAnsi="宋体" w:cs="宋体"/>
          <w:color w:val="auto"/>
          <w:sz w:val="22"/>
          <w:highlight w:val="none"/>
          <w:u w:val="single"/>
          <w:lang w:eastAsia="zh-CN"/>
        </w:rPr>
        <w:t>泰顺县人民医院（泰顺县人民医院医共体）</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泰顺县人民医院（泰顺县人民医院医共体）检测项目外送服务 </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TSCG202511008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泰顺县人民医院（泰顺县人民医院医共体）检测项目外送服务 </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b/>
          <w:bCs/>
          <w:color w:val="auto"/>
          <w:sz w:val="22"/>
          <w:szCs w:val="22"/>
          <w:highlight w:val="none"/>
          <w:u w:val="single"/>
          <w:lang w:val="zh-CN"/>
        </w:rPr>
        <w:t>纸质投标文件：一式五份，其中正本一份，副本四份</w:t>
      </w:r>
      <w:r>
        <w:rPr>
          <w:rFonts w:hint="eastAsia" w:ascii="宋体" w:hAnsi="宋体" w:cs="宋体"/>
          <w:color w:val="auto"/>
          <w:sz w:val="22"/>
          <w:highlight w:val="none"/>
          <w:lang w:val="zh-CN"/>
        </w:rPr>
        <w:t>。</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28F02517">
      <w:pPr>
        <w:pStyle w:val="2"/>
        <w:rPr>
          <w:rFonts w:hint="eastAsia"/>
        </w:rPr>
      </w:pPr>
    </w:p>
    <w:p w14:paraId="1034838D">
      <w:pPr>
        <w:rPr>
          <w:rFonts w:hint="eastAsia"/>
        </w:rPr>
      </w:pPr>
    </w:p>
    <w:p w14:paraId="17849118">
      <w:pPr>
        <w:spacing w:line="360" w:lineRule="exact"/>
        <w:jc w:val="left"/>
        <w:rPr>
          <w:rFonts w:hint="eastAsia"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B81B617">
      <w:pPr>
        <w:spacing w:line="360" w:lineRule="exact"/>
        <w:jc w:val="center"/>
        <w:rPr>
          <w:rFonts w:ascii="宋体" w:hAnsi="宋体" w:cs="宋体"/>
          <w:b/>
          <w:bCs/>
          <w:color w:val="auto"/>
          <w:sz w:val="30"/>
          <w:highlight w:val="none"/>
          <w:lang w:val="zh-CN"/>
        </w:rPr>
      </w:pPr>
      <w:bookmarkStart w:id="30" w:name="_Toc15399_WPSOffice_Level3"/>
      <w:r>
        <w:rPr>
          <w:rFonts w:hint="eastAsia" w:ascii="宋体" w:hAnsi="宋体" w:cs="宋体"/>
          <w:b/>
          <w:bCs/>
          <w:color w:val="auto"/>
          <w:sz w:val="30"/>
          <w:highlight w:val="none"/>
          <w:lang w:val="zh-CN"/>
        </w:rPr>
        <w:t>供应商参与政府采购活动投标资格声明函</w:t>
      </w:r>
      <w:bookmarkEnd w:id="30"/>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Pr>
          <w:p w14:paraId="5EDA3FE3">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泰顺县人民医院（泰顺县人民医院医共体）检测项目外送服务 </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TSCG202511008 </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6"/>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5B4C5DD8">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六</w:t>
      </w:r>
    </w:p>
    <w:p w14:paraId="206C6639">
      <w:pPr>
        <w:jc w:val="center"/>
        <w:rPr>
          <w:rFonts w:ascii="宋体" w:hAnsi="宋体" w:cs="宋体"/>
          <w:b/>
          <w:bCs/>
          <w:color w:val="auto"/>
          <w:sz w:val="32"/>
          <w:szCs w:val="32"/>
          <w:highlight w:val="none"/>
        </w:rPr>
      </w:pPr>
      <w:bookmarkStart w:id="31" w:name="_Toc7010_WPSOffice_Level3"/>
      <w:r>
        <w:rPr>
          <w:rFonts w:hint="eastAsia" w:ascii="宋体" w:hAnsi="宋体" w:cs="宋体"/>
          <w:b/>
          <w:bCs/>
          <w:color w:val="auto"/>
          <w:sz w:val="32"/>
          <w:szCs w:val="32"/>
          <w:highlight w:val="none"/>
        </w:rPr>
        <w:t>法定代表人诚信投标承诺书</w:t>
      </w:r>
      <w:bookmarkEnd w:id="31"/>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泰顺县人民医院（泰顺县人民医院医共体）检测项目外送服务 </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 xml:space="preserve">TSCG202511008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068C0D4C">
      <w:pPr>
        <w:pStyle w:val="16"/>
        <w:spacing w:line="360" w:lineRule="exact"/>
        <w:jc w:val="left"/>
        <w:rPr>
          <w:rFonts w:hint="eastAsia" w:hAnsi="宋体" w:cs="宋体"/>
          <w:b/>
          <w:bCs/>
          <w:color w:val="auto"/>
          <w:sz w:val="32"/>
          <w:highlight w:val="none"/>
          <w:lang w:val="zh-CN"/>
        </w:rPr>
      </w:pPr>
    </w:p>
    <w:p w14:paraId="4AECBE06">
      <w:pPr>
        <w:pStyle w:val="16"/>
        <w:spacing w:line="360" w:lineRule="exact"/>
        <w:jc w:val="left"/>
        <w:rPr>
          <w:rFonts w:hint="eastAsia" w:hAnsi="宋体" w:cs="宋体"/>
          <w:b/>
          <w:bCs/>
          <w:color w:val="auto"/>
          <w:sz w:val="32"/>
          <w:highlight w:val="none"/>
          <w:lang w:val="zh-CN"/>
        </w:rPr>
      </w:pPr>
    </w:p>
    <w:p w14:paraId="261137DE">
      <w:pPr>
        <w:pStyle w:val="16"/>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七</w:t>
      </w:r>
    </w:p>
    <w:p w14:paraId="6FE512F8">
      <w:pPr>
        <w:pStyle w:val="16"/>
        <w:spacing w:line="360" w:lineRule="exact"/>
        <w:jc w:val="center"/>
        <w:rPr>
          <w:rFonts w:hAnsi="宋体" w:cs="宋体"/>
          <w:b/>
          <w:bCs/>
          <w:color w:val="auto"/>
          <w:sz w:val="32"/>
          <w:highlight w:val="none"/>
          <w:lang w:val="zh-CN"/>
        </w:rPr>
      </w:pPr>
      <w:bookmarkStart w:id="32" w:name="_Toc18541_WPSOffice_Level3"/>
      <w:r>
        <w:rPr>
          <w:rFonts w:hint="eastAsia" w:hAnsi="宋体" w:cs="宋体"/>
          <w:b/>
          <w:bCs/>
          <w:color w:val="auto"/>
          <w:sz w:val="32"/>
          <w:highlight w:val="none"/>
          <w:lang w:val="zh-CN"/>
        </w:rPr>
        <w:t>（一）商务偏离表</w:t>
      </w:r>
      <w:bookmarkEnd w:id="32"/>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6"/>
        <w:spacing w:line="360" w:lineRule="exact"/>
        <w:jc w:val="center"/>
        <w:rPr>
          <w:rFonts w:hAnsi="宋体" w:cs="宋体"/>
          <w:b/>
          <w:bCs/>
          <w:color w:val="auto"/>
          <w:sz w:val="32"/>
          <w:highlight w:val="none"/>
          <w:lang w:val="zh-CN"/>
        </w:rPr>
      </w:pPr>
      <w:bookmarkStart w:id="33" w:name="_Toc4031_WPSOffice_Level3"/>
      <w:r>
        <w:rPr>
          <w:rFonts w:hint="eastAsia" w:hAnsi="宋体" w:cs="宋体"/>
          <w:b/>
          <w:bCs/>
          <w:color w:val="auto"/>
          <w:sz w:val="32"/>
          <w:highlight w:val="none"/>
          <w:lang w:val="zh-CN"/>
        </w:rPr>
        <w:t>（二）技术偏离表</w:t>
      </w:r>
      <w:bookmarkEnd w:id="33"/>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4" w:name="_Toc30988_WPSOffice_Level2"/>
      <w:r>
        <w:rPr>
          <w:rFonts w:hint="eastAsia" w:ascii="宋体" w:hAnsi="宋体" w:cs="宋体"/>
          <w:color w:val="auto"/>
          <w:highlight w:val="none"/>
        </w:rPr>
        <w:t>备注：表格可以延续</w:t>
      </w:r>
      <w:bookmarkEnd w:id="34"/>
    </w:p>
    <w:p w14:paraId="7936817F">
      <w:pPr>
        <w:spacing w:line="360" w:lineRule="exact"/>
        <w:jc w:val="left"/>
        <w:rPr>
          <w:rFonts w:ascii="宋体" w:hAnsi="宋体" w:cs="宋体"/>
          <w:b/>
          <w:bCs/>
          <w:color w:val="auto"/>
          <w:sz w:val="30"/>
          <w:highlight w:val="none"/>
        </w:rPr>
      </w:pPr>
    </w:p>
    <w:p w14:paraId="2CF71D8C">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八</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泰顺县人民医院（泰顺县人民医院医共体）检测项目外送服务 </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 xml:space="preserve">TSCG202511008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1"/>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九</w:t>
      </w:r>
    </w:p>
    <w:p w14:paraId="3F719D0B">
      <w:pPr>
        <w:autoSpaceDE w:val="0"/>
        <w:autoSpaceDN w:val="0"/>
        <w:adjustRightInd w:val="0"/>
        <w:spacing w:line="500" w:lineRule="atLeast"/>
        <w:jc w:val="center"/>
        <w:rPr>
          <w:rFonts w:ascii="宋体" w:hAnsi="宋体" w:cs="宋体"/>
          <w:b/>
          <w:bCs/>
          <w:color w:val="auto"/>
          <w:sz w:val="32"/>
          <w:highlight w:val="none"/>
        </w:rPr>
      </w:pPr>
      <w:bookmarkStart w:id="35" w:name="_Toc28287_WPSOffice_Level3"/>
      <w:r>
        <w:rPr>
          <w:rFonts w:hint="eastAsia" w:ascii="宋体" w:hAnsi="宋体" w:cs="宋体"/>
          <w:b/>
          <w:bCs/>
          <w:color w:val="auto"/>
          <w:sz w:val="32"/>
          <w:highlight w:val="none"/>
        </w:rPr>
        <w:t>供应商项目业绩清单</w:t>
      </w:r>
      <w:bookmarkEnd w:id="35"/>
    </w:p>
    <w:p w14:paraId="28553537">
      <w:pPr>
        <w:pStyle w:val="16"/>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01281DD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6"/>
        <w:spacing w:line="360" w:lineRule="exact"/>
        <w:rPr>
          <w:rFonts w:hint="eastAsia" w:hAnsi="宋体" w:cs="宋体"/>
          <w:color w:val="auto"/>
          <w:sz w:val="22"/>
          <w:highlight w:val="none"/>
        </w:rPr>
      </w:pPr>
    </w:p>
    <w:p w14:paraId="1F8672BD">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0"/>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泰顺县人民医院（泰顺县人民医院医共体）检测项目外送服务 </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 xml:space="preserve">TSCG202511008 </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3"/>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2"/>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3"/>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1C4DD641">
      <w:pPr>
        <w:pStyle w:val="4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eastAsia="宋体"/>
          <w:color w:val="auto"/>
          <w:kern w:val="2"/>
          <w:sz w:val="22"/>
          <w:szCs w:val="22"/>
          <w:highlight w:val="none"/>
          <w:lang w:eastAsia="zh-CN"/>
        </w:rPr>
      </w:pPr>
      <w:r>
        <w:rPr>
          <w:rFonts w:hint="eastAsia" w:ascii="宋体" w:hAnsi="宋体"/>
          <w:color w:val="auto"/>
          <w:kern w:val="2"/>
          <w:sz w:val="22"/>
          <w:szCs w:val="22"/>
          <w:highlight w:val="none"/>
        </w:rPr>
        <w:t>四、评标细则</w:t>
      </w:r>
      <w:r>
        <w:rPr>
          <w:rFonts w:hint="eastAsia" w:ascii="宋体" w:hAnsi="宋体"/>
          <w:color w:val="auto"/>
          <w:kern w:val="2"/>
          <w:sz w:val="22"/>
          <w:szCs w:val="22"/>
          <w:highlight w:val="none"/>
          <w:lang w:eastAsia="zh-CN"/>
        </w:rPr>
        <w:t>（</w:t>
      </w:r>
      <w:r>
        <w:rPr>
          <w:rFonts w:hint="eastAsia" w:ascii="宋体" w:hAnsi="宋体"/>
          <w:color w:val="auto"/>
          <w:kern w:val="2"/>
          <w:sz w:val="22"/>
          <w:szCs w:val="22"/>
          <w:highlight w:val="none"/>
          <w:lang w:val="en-US" w:eastAsia="zh-CN"/>
        </w:rPr>
        <w:t>标项一、二通用</w:t>
      </w:r>
      <w:r>
        <w:rPr>
          <w:rFonts w:hint="eastAsia" w:ascii="宋体" w:hAnsi="宋体"/>
          <w:color w:val="auto"/>
          <w:kern w:val="2"/>
          <w:sz w:val="22"/>
          <w:szCs w:val="22"/>
          <w:highlight w:val="none"/>
          <w:lang w:eastAsia="zh-CN"/>
        </w:rPr>
        <w:t>）</w:t>
      </w:r>
    </w:p>
    <w:p w14:paraId="275EB88C">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1B1F4DAC">
      <w:pPr>
        <w:pStyle w:val="16"/>
        <w:adjustRightInd w:val="0"/>
        <w:snapToGrid w:val="0"/>
        <w:spacing w:line="380" w:lineRule="exact"/>
        <w:ind w:firstLine="450"/>
        <w:rPr>
          <w:rFonts w:hint="eastAsia" w:hAnsi="宋体"/>
          <w:b/>
          <w:bCs/>
          <w:color w:val="auto"/>
          <w:sz w:val="22"/>
          <w:highlight w:val="none"/>
          <w:lang w:val="en-US" w:eastAsia="zh-CN"/>
        </w:rPr>
      </w:pPr>
      <w:r>
        <w:rPr>
          <w:rFonts w:hint="eastAsia" w:hAnsi="宋体"/>
          <w:b/>
          <w:bCs/>
          <w:color w:val="auto"/>
          <w:sz w:val="22"/>
          <w:highlight w:val="none"/>
          <w:lang w:val="en-US" w:eastAsia="zh-CN"/>
        </w:rPr>
        <w:t>标项一：</w:t>
      </w:r>
    </w:p>
    <w:p w14:paraId="54800629">
      <w:pPr>
        <w:pStyle w:val="16"/>
        <w:numPr>
          <w:ilvl w:val="0"/>
          <w:numId w:val="14"/>
        </w:numPr>
        <w:adjustRightInd w:val="0"/>
        <w:snapToGrid w:val="0"/>
        <w:spacing w:line="380" w:lineRule="exact"/>
        <w:ind w:firstLine="450"/>
        <w:rPr>
          <w:rFonts w:hint="eastAsia" w:ascii="Calibri" w:hAnsi="Calibri" w:cs="黑体"/>
          <w:b/>
          <w:bCs/>
          <w:color w:val="auto"/>
          <w:kern w:val="2"/>
          <w:sz w:val="22"/>
          <w:szCs w:val="22"/>
          <w:highlight w:val="none"/>
          <w:lang w:val="en-US" w:eastAsia="zh-CN" w:bidi="ar-SA"/>
        </w:rPr>
      </w:pPr>
      <w:r>
        <w:rPr>
          <w:rFonts w:hint="eastAsia" w:hAnsi="宋体"/>
          <w:b/>
          <w:bCs/>
          <w:color w:val="auto"/>
          <w:sz w:val="22"/>
          <w:highlight w:val="none"/>
          <w:lang w:val="en-US" w:eastAsia="zh-CN"/>
        </w:rPr>
        <w:t>序号1-8（满分22分）：</w:t>
      </w: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22</w:t>
      </w:r>
      <w:r>
        <w:rPr>
          <w:rFonts w:hint="eastAsia" w:ascii="Calibri" w:hAnsi="Calibri" w:eastAsia="宋体" w:cs="黑体"/>
          <w:b/>
          <w:bCs/>
          <w:color w:val="auto"/>
          <w:kern w:val="2"/>
          <w:sz w:val="22"/>
          <w:szCs w:val="22"/>
          <w:highlight w:val="none"/>
          <w:lang w:val="en-US" w:eastAsia="zh-CN" w:bidi="ar-SA"/>
        </w:rPr>
        <w:t>%×100</w:t>
      </w:r>
      <w:r>
        <w:rPr>
          <w:rFonts w:hint="eastAsia" w:ascii="Calibri" w:hAnsi="Calibri" w:cs="黑体"/>
          <w:b/>
          <w:bCs/>
          <w:color w:val="auto"/>
          <w:kern w:val="2"/>
          <w:sz w:val="22"/>
          <w:szCs w:val="22"/>
          <w:highlight w:val="none"/>
          <w:lang w:val="en-US" w:eastAsia="zh-CN" w:bidi="ar-SA"/>
        </w:rPr>
        <w:t>；</w:t>
      </w:r>
    </w:p>
    <w:p w14:paraId="17E579F5">
      <w:pPr>
        <w:pStyle w:val="16"/>
        <w:numPr>
          <w:ilvl w:val="0"/>
          <w:numId w:val="14"/>
        </w:numPr>
        <w:adjustRightInd w:val="0"/>
        <w:snapToGrid w:val="0"/>
        <w:spacing w:line="380" w:lineRule="exact"/>
        <w:ind w:firstLine="450"/>
        <w:rPr>
          <w:rFonts w:hint="eastAsia" w:ascii="Calibri" w:hAnsi="Calibri" w:cs="黑体"/>
          <w:b/>
          <w:bCs/>
          <w:color w:val="auto"/>
          <w:kern w:val="2"/>
          <w:sz w:val="22"/>
          <w:szCs w:val="22"/>
          <w:highlight w:val="none"/>
          <w:lang w:val="en-US" w:eastAsia="zh-CN" w:bidi="ar-SA"/>
        </w:rPr>
      </w:pPr>
      <w:r>
        <w:rPr>
          <w:rFonts w:hint="eastAsia" w:hAnsi="宋体"/>
          <w:b/>
          <w:bCs/>
          <w:color w:val="auto"/>
          <w:sz w:val="22"/>
          <w:highlight w:val="none"/>
          <w:lang w:val="en-US" w:eastAsia="zh-CN"/>
        </w:rPr>
        <w:t>序号9（满分6分）：</w:t>
      </w: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6</w:t>
      </w:r>
      <w:r>
        <w:rPr>
          <w:rFonts w:hint="eastAsia" w:ascii="Calibri" w:hAnsi="Calibri" w:eastAsia="宋体" w:cs="黑体"/>
          <w:b/>
          <w:bCs/>
          <w:color w:val="auto"/>
          <w:kern w:val="2"/>
          <w:sz w:val="22"/>
          <w:szCs w:val="22"/>
          <w:highlight w:val="none"/>
          <w:lang w:val="en-US" w:eastAsia="zh-CN" w:bidi="ar-SA"/>
        </w:rPr>
        <w:t>%×100</w:t>
      </w:r>
      <w:r>
        <w:rPr>
          <w:rFonts w:hint="eastAsia" w:ascii="Calibri" w:hAnsi="Calibri" w:cs="黑体"/>
          <w:b/>
          <w:bCs/>
          <w:color w:val="auto"/>
          <w:kern w:val="2"/>
          <w:sz w:val="22"/>
          <w:szCs w:val="22"/>
          <w:highlight w:val="none"/>
          <w:lang w:val="en-US" w:eastAsia="zh-CN" w:bidi="ar-SA"/>
        </w:rPr>
        <w:t>；</w:t>
      </w:r>
    </w:p>
    <w:p w14:paraId="0DD39E39">
      <w:pPr>
        <w:pStyle w:val="16"/>
        <w:numPr>
          <w:ilvl w:val="0"/>
          <w:numId w:val="14"/>
        </w:numPr>
        <w:adjustRightInd w:val="0"/>
        <w:snapToGrid w:val="0"/>
        <w:spacing w:line="380" w:lineRule="exact"/>
        <w:ind w:firstLine="450"/>
        <w:rPr>
          <w:rFonts w:hint="eastAsia" w:hAnsi="宋体"/>
          <w:b/>
          <w:bCs/>
          <w:color w:val="auto"/>
          <w:sz w:val="22"/>
          <w:highlight w:val="none"/>
          <w:lang w:val="en-US" w:eastAsia="zh-CN"/>
        </w:rPr>
      </w:pPr>
      <w:r>
        <w:rPr>
          <w:rFonts w:hint="eastAsia" w:hAnsi="宋体"/>
          <w:b/>
          <w:bCs/>
          <w:color w:val="auto"/>
          <w:sz w:val="22"/>
          <w:highlight w:val="none"/>
          <w:lang w:val="en-US" w:eastAsia="zh-CN"/>
        </w:rPr>
        <w:t>序号10（满分1分）：报</w:t>
      </w: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1</w:t>
      </w:r>
      <w:r>
        <w:rPr>
          <w:rFonts w:hint="eastAsia" w:ascii="Calibri" w:hAnsi="Calibri" w:eastAsia="宋体" w:cs="黑体"/>
          <w:b/>
          <w:bCs/>
          <w:color w:val="auto"/>
          <w:kern w:val="2"/>
          <w:sz w:val="22"/>
          <w:szCs w:val="22"/>
          <w:highlight w:val="none"/>
          <w:lang w:val="en-US" w:eastAsia="zh-CN" w:bidi="ar-SA"/>
        </w:rPr>
        <w:t>%×100</w:t>
      </w:r>
      <w:r>
        <w:rPr>
          <w:rFonts w:hint="eastAsia" w:ascii="Calibri" w:hAnsi="Calibri" w:cs="黑体"/>
          <w:b/>
          <w:bCs/>
          <w:color w:val="auto"/>
          <w:kern w:val="2"/>
          <w:sz w:val="22"/>
          <w:szCs w:val="22"/>
          <w:highlight w:val="none"/>
          <w:lang w:val="en-US" w:eastAsia="zh-CN" w:bidi="ar-SA"/>
        </w:rPr>
        <w:t>；</w:t>
      </w:r>
    </w:p>
    <w:p w14:paraId="3042A555">
      <w:pPr>
        <w:pStyle w:val="17"/>
        <w:rPr>
          <w:rFonts w:hint="eastAsia"/>
          <w:highlight w:val="none"/>
          <w:lang w:val="en-US" w:eastAsia="zh-CN"/>
        </w:rPr>
      </w:pPr>
      <w:r>
        <w:rPr>
          <w:rFonts w:hint="eastAsia" w:cs="黑体"/>
          <w:b/>
          <w:bCs/>
          <w:color w:val="auto"/>
          <w:kern w:val="2"/>
          <w:sz w:val="22"/>
          <w:szCs w:val="22"/>
          <w:highlight w:val="none"/>
          <w:lang w:val="en-US" w:eastAsia="zh-CN" w:bidi="ar-SA"/>
        </w:rPr>
        <w:t>（4）</w:t>
      </w:r>
      <w:r>
        <w:rPr>
          <w:rFonts w:hint="eastAsia" w:hAnsi="宋体"/>
          <w:b/>
          <w:bCs/>
          <w:color w:val="auto"/>
          <w:sz w:val="22"/>
          <w:highlight w:val="none"/>
          <w:lang w:val="en-US" w:eastAsia="zh-CN"/>
        </w:rPr>
        <w:t>序号11（满分1分）：报</w:t>
      </w: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1</w:t>
      </w:r>
      <w:r>
        <w:rPr>
          <w:rFonts w:hint="eastAsia" w:ascii="Calibri" w:hAnsi="Calibri" w:eastAsia="宋体" w:cs="黑体"/>
          <w:b/>
          <w:bCs/>
          <w:color w:val="auto"/>
          <w:kern w:val="2"/>
          <w:sz w:val="22"/>
          <w:szCs w:val="22"/>
          <w:highlight w:val="none"/>
          <w:lang w:val="en-US" w:eastAsia="zh-CN" w:bidi="ar-SA"/>
        </w:rPr>
        <w:t>%×100</w:t>
      </w:r>
      <w:r>
        <w:rPr>
          <w:rFonts w:hint="eastAsia" w:ascii="Calibri" w:hAnsi="Calibri" w:cs="黑体"/>
          <w:b/>
          <w:bCs/>
          <w:color w:val="auto"/>
          <w:kern w:val="2"/>
          <w:sz w:val="22"/>
          <w:szCs w:val="22"/>
          <w:highlight w:val="none"/>
          <w:lang w:val="en-US" w:eastAsia="zh-CN" w:bidi="ar-SA"/>
        </w:rPr>
        <w:t>；</w:t>
      </w:r>
    </w:p>
    <w:p w14:paraId="42F8643F">
      <w:pPr>
        <w:pStyle w:val="16"/>
        <w:tabs>
          <w:tab w:val="left" w:pos="1069"/>
          <w:tab w:val="left" w:pos="2352"/>
        </w:tabs>
        <w:adjustRightInd w:val="0"/>
        <w:snapToGrid w:val="0"/>
        <w:spacing w:line="380" w:lineRule="exact"/>
        <w:ind w:firstLine="450"/>
        <w:rPr>
          <w:rFonts w:hint="eastAsia" w:hAnsi="宋体"/>
          <w:b/>
          <w:bCs/>
          <w:color w:val="auto"/>
          <w:sz w:val="22"/>
          <w:highlight w:val="none"/>
          <w:lang w:val="en-US" w:eastAsia="zh-CN"/>
        </w:rPr>
      </w:pPr>
      <w:r>
        <w:rPr>
          <w:rFonts w:hint="eastAsia" w:hAnsi="宋体"/>
          <w:b/>
          <w:bCs/>
          <w:color w:val="auto"/>
          <w:sz w:val="22"/>
          <w:highlight w:val="none"/>
          <w:lang w:val="en-US" w:eastAsia="zh-CN"/>
        </w:rPr>
        <w:t>标项二：</w:t>
      </w:r>
    </w:p>
    <w:p w14:paraId="6EB17A59">
      <w:pPr>
        <w:pStyle w:val="16"/>
        <w:tabs>
          <w:tab w:val="left" w:pos="1069"/>
          <w:tab w:val="left" w:pos="2352"/>
        </w:tabs>
        <w:adjustRightInd w:val="0"/>
        <w:snapToGrid w:val="0"/>
        <w:spacing w:line="380" w:lineRule="exact"/>
        <w:ind w:firstLine="450"/>
        <w:rPr>
          <w:rFonts w:hint="eastAsia" w:hAnsi="宋体"/>
          <w:b/>
          <w:bCs/>
          <w:color w:val="auto"/>
          <w:sz w:val="22"/>
          <w:highlight w:val="none"/>
          <w:lang w:val="en-US" w:eastAsia="zh-CN"/>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3D779861">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highlight w:val="none"/>
        </w:rPr>
        <w:t>。</w:t>
      </w:r>
    </w:p>
    <w:p w14:paraId="20954720">
      <w:pPr>
        <w:adjustRightInd w:val="0"/>
        <w:snapToGrid w:val="0"/>
        <w:spacing w:line="400" w:lineRule="exact"/>
        <w:ind w:firstLine="228" w:firstLineChars="100"/>
        <w:rPr>
          <w:rFonts w:hint="eastAsia"/>
          <w:b/>
          <w:bCs/>
          <w:color w:val="auto"/>
          <w:sz w:val="22"/>
          <w:szCs w:val="22"/>
          <w:highlight w:val="none"/>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7</w:t>
      </w:r>
      <w:r>
        <w:rPr>
          <w:rFonts w:hint="eastAsia"/>
          <w:b/>
          <w:bCs/>
          <w:color w:val="auto"/>
          <w:sz w:val="22"/>
          <w:szCs w:val="22"/>
          <w:highlight w:val="none"/>
        </w:rPr>
        <w:t>0分）</w:t>
      </w:r>
    </w:p>
    <w:p w14:paraId="02CDED99">
      <w:pPr>
        <w:pStyle w:val="14"/>
        <w:rPr>
          <w:rFonts w:hint="eastAsia"/>
          <w:b/>
          <w:bCs/>
          <w:color w:val="auto"/>
          <w:sz w:val="22"/>
          <w:szCs w:val="22"/>
          <w:highlight w:val="none"/>
          <w:lang w:val="en-US" w:eastAsia="zh-CN"/>
        </w:rPr>
      </w:pPr>
      <w:r>
        <w:rPr>
          <w:rFonts w:hint="eastAsia"/>
          <w:b/>
          <w:bCs/>
          <w:color w:val="auto"/>
          <w:sz w:val="22"/>
          <w:szCs w:val="22"/>
          <w:highlight w:val="none"/>
          <w:lang w:val="en-US" w:eastAsia="zh-CN"/>
        </w:rPr>
        <w:t>标项一：</w:t>
      </w:r>
    </w:p>
    <w:tbl>
      <w:tblPr>
        <w:tblStyle w:val="33"/>
        <w:tblpPr w:leftFromText="180" w:rightFromText="180" w:vertAnchor="text" w:horzAnchor="page" w:tblpX="1482" w:tblpY="457"/>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371"/>
        <w:gridCol w:w="6413"/>
        <w:gridCol w:w="1076"/>
      </w:tblGrid>
      <w:tr w14:paraId="40F5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5" w:type="pct"/>
            <w:noWrap w:val="0"/>
            <w:vAlign w:val="center"/>
          </w:tcPr>
          <w:p w14:paraId="03BD34D8">
            <w:pPr>
              <w:jc w:val="center"/>
              <w:rPr>
                <w:rFonts w:ascii="Times New Roman" w:hAnsi="Times New Roman" w:eastAsia="宋体" w:cs="Times New Roman"/>
                <w:kern w:val="0"/>
                <w:sz w:val="22"/>
                <w:szCs w:val="22"/>
              </w:rPr>
            </w:pPr>
            <w:r>
              <w:rPr>
                <w:rFonts w:hint="eastAsia" w:ascii="宋体" w:hAnsi="宋体" w:eastAsia="宋体" w:cs="宋体"/>
                <w:b/>
                <w:bCs/>
                <w:kern w:val="0"/>
                <w:sz w:val="22"/>
                <w:szCs w:val="22"/>
                <w:lang w:val="zh-CN" w:bidi="zh-CN"/>
              </w:rPr>
              <w:t>序号</w:t>
            </w:r>
          </w:p>
        </w:tc>
        <w:tc>
          <w:tcPr>
            <w:tcW w:w="712" w:type="pct"/>
            <w:noWrap w:val="0"/>
            <w:vAlign w:val="center"/>
          </w:tcPr>
          <w:p w14:paraId="5F26D900">
            <w:pPr>
              <w:jc w:val="center"/>
              <w:rPr>
                <w:rFonts w:ascii="宋体" w:hAnsi="宋体" w:eastAsia="宋体" w:cs="宋体"/>
                <w:b/>
                <w:bCs/>
                <w:kern w:val="0"/>
                <w:sz w:val="22"/>
                <w:szCs w:val="22"/>
                <w:lang w:val="zh-CN" w:bidi="zh-CN"/>
              </w:rPr>
            </w:pPr>
            <w:r>
              <w:rPr>
                <w:rFonts w:hint="eastAsia" w:ascii="宋体" w:hAnsi="宋体" w:eastAsia="宋体" w:cs="宋体"/>
                <w:b/>
                <w:bCs/>
                <w:kern w:val="0"/>
                <w:sz w:val="22"/>
                <w:szCs w:val="22"/>
                <w:lang w:val="zh-CN" w:bidi="zh-CN"/>
              </w:rPr>
              <w:t>评分内容</w:t>
            </w:r>
          </w:p>
        </w:tc>
        <w:tc>
          <w:tcPr>
            <w:tcW w:w="3331" w:type="pct"/>
            <w:noWrap w:val="0"/>
            <w:vAlign w:val="center"/>
          </w:tcPr>
          <w:p w14:paraId="6889A91A">
            <w:pPr>
              <w:jc w:val="center"/>
              <w:rPr>
                <w:rFonts w:ascii="Times New Roman" w:hAnsi="Times New Roman" w:eastAsia="宋体" w:cs="Times New Roman"/>
                <w:kern w:val="0"/>
                <w:sz w:val="22"/>
                <w:szCs w:val="22"/>
              </w:rPr>
            </w:pPr>
            <w:r>
              <w:rPr>
                <w:rFonts w:hint="eastAsia" w:ascii="宋体" w:hAnsi="宋体" w:eastAsia="宋体" w:cs="宋体"/>
                <w:b/>
                <w:bCs/>
                <w:kern w:val="0"/>
                <w:sz w:val="22"/>
                <w:szCs w:val="22"/>
                <w:lang w:val="zh-CN" w:bidi="zh-CN"/>
              </w:rPr>
              <w:t>评标标准</w:t>
            </w:r>
          </w:p>
        </w:tc>
        <w:tc>
          <w:tcPr>
            <w:tcW w:w="559" w:type="pct"/>
            <w:noWrap w:val="0"/>
            <w:vAlign w:val="center"/>
          </w:tcPr>
          <w:p w14:paraId="713541C9">
            <w:pPr>
              <w:jc w:val="center"/>
              <w:rPr>
                <w:rFonts w:hint="eastAsia"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分值</w:t>
            </w:r>
          </w:p>
        </w:tc>
      </w:tr>
      <w:tr w14:paraId="5F1B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14:paraId="4BFBD964">
            <w:pPr>
              <w:numPr>
                <w:ilvl w:val="0"/>
                <w:numId w:val="15"/>
              </w:numPr>
              <w:jc w:val="center"/>
              <w:rPr>
                <w:rFonts w:ascii="Times New Roman" w:hAnsi="Times New Roman" w:eastAsia="宋体" w:cs="Times New Roman"/>
                <w:kern w:val="0"/>
                <w:sz w:val="22"/>
                <w:szCs w:val="22"/>
              </w:rPr>
            </w:pPr>
          </w:p>
        </w:tc>
        <w:tc>
          <w:tcPr>
            <w:tcW w:w="712" w:type="pct"/>
            <w:noWrap w:val="0"/>
            <w:vAlign w:val="center"/>
          </w:tcPr>
          <w:p w14:paraId="673E672E">
            <w:pPr>
              <w:jc w:val="center"/>
              <w:rPr>
                <w:rFonts w:ascii="宋体" w:hAnsi="宋体" w:eastAsia="宋体" w:cs="宋体"/>
                <w:snapToGrid w:val="0"/>
                <w:kern w:val="0"/>
                <w:sz w:val="22"/>
                <w:szCs w:val="22"/>
              </w:rPr>
            </w:pPr>
            <w:r>
              <w:rPr>
                <w:rFonts w:hint="eastAsia" w:ascii="宋体" w:hAnsi="宋体" w:eastAsia="宋体" w:cs="宋体"/>
                <w:snapToGrid w:val="0"/>
                <w:kern w:val="0"/>
                <w:sz w:val="22"/>
                <w:szCs w:val="22"/>
              </w:rPr>
              <w:t>服务要求</w:t>
            </w:r>
          </w:p>
          <w:p w14:paraId="520CFED7">
            <w:pPr>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响应</w:t>
            </w:r>
          </w:p>
        </w:tc>
        <w:tc>
          <w:tcPr>
            <w:tcW w:w="3331" w:type="pct"/>
            <w:noWrap w:val="0"/>
            <w:vAlign w:val="center"/>
          </w:tcPr>
          <w:p w14:paraId="44ACBB7C">
            <w:pP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需求偏离度：全部满足招标文件项目及服务需求的得满分18分，其中标注“▲”号为重要指标，负偏离一项扣</w:t>
            </w:r>
            <w:r>
              <w:rPr>
                <w:rFonts w:ascii="Times New Roman" w:hAnsi="Times New Roman" w:eastAsia="宋体" w:cs="Times New Roman"/>
                <w:kern w:val="0"/>
                <w:sz w:val="22"/>
                <w:szCs w:val="22"/>
              </w:rPr>
              <w:t>3</w:t>
            </w:r>
            <w:r>
              <w:rPr>
                <w:rFonts w:hint="eastAsia" w:ascii="Times New Roman" w:hAnsi="Times New Roman" w:eastAsia="宋体" w:cs="Times New Roman"/>
                <w:kern w:val="0"/>
                <w:sz w:val="22"/>
                <w:szCs w:val="22"/>
              </w:rPr>
              <w:t>分，扣完为止，其余的有一项负偏离扣</w:t>
            </w:r>
            <w:r>
              <w:rPr>
                <w:rFonts w:ascii="Times New Roman" w:hAnsi="Times New Roman" w:eastAsia="宋体" w:cs="Times New Roman"/>
                <w:kern w:val="0"/>
                <w:sz w:val="22"/>
                <w:szCs w:val="22"/>
              </w:rPr>
              <w:t>1</w:t>
            </w:r>
            <w:r>
              <w:rPr>
                <w:rFonts w:hint="eastAsia" w:ascii="Times New Roman" w:hAnsi="Times New Roman" w:eastAsia="宋体" w:cs="Times New Roman"/>
                <w:kern w:val="0"/>
                <w:sz w:val="22"/>
                <w:szCs w:val="22"/>
              </w:rPr>
              <w:t>分，扣完为止。</w:t>
            </w:r>
          </w:p>
        </w:tc>
        <w:tc>
          <w:tcPr>
            <w:tcW w:w="559" w:type="pct"/>
            <w:noWrap w:val="0"/>
            <w:vAlign w:val="center"/>
          </w:tcPr>
          <w:p w14:paraId="691DD04E">
            <w:pPr>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18</w:t>
            </w:r>
          </w:p>
        </w:tc>
      </w:tr>
      <w:tr w14:paraId="058B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14:paraId="1C0C2753">
            <w:pPr>
              <w:numPr>
                <w:ilvl w:val="0"/>
                <w:numId w:val="15"/>
              </w:numPr>
              <w:jc w:val="center"/>
              <w:rPr>
                <w:rFonts w:ascii="Times New Roman" w:hAnsi="Times New Roman" w:eastAsia="宋体" w:cs="Times New Roman"/>
                <w:kern w:val="0"/>
                <w:sz w:val="22"/>
                <w:szCs w:val="22"/>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05CF9FF5">
            <w:pPr>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lang w:bidi="ar"/>
              </w:rPr>
              <w:t>项目响</w:t>
            </w:r>
            <w:r>
              <w:rPr>
                <w:rFonts w:hint="eastAsia" w:ascii="宋体" w:hAnsi="宋体" w:eastAsia="宋体" w:cs="宋体"/>
                <w:kern w:val="0"/>
                <w:sz w:val="22"/>
                <w:szCs w:val="22"/>
                <w:lang w:bidi="ar"/>
              </w:rPr>
              <w:t>应</w:t>
            </w:r>
          </w:p>
        </w:tc>
        <w:tc>
          <w:tcPr>
            <w:tcW w:w="3331" w:type="pct"/>
            <w:tcBorders>
              <w:top w:val="single" w:color="auto" w:sz="4" w:space="0"/>
              <w:left w:val="single" w:color="auto" w:sz="4" w:space="0"/>
              <w:bottom w:val="single" w:color="auto" w:sz="4" w:space="0"/>
              <w:right w:val="single" w:color="auto" w:sz="4" w:space="0"/>
            </w:tcBorders>
            <w:noWrap w:val="0"/>
            <w:vAlign w:val="center"/>
          </w:tcPr>
          <w:p w14:paraId="6907C36C">
            <w:pPr>
              <w:textAlignment w:val="top"/>
              <w:rPr>
                <w:rFonts w:ascii="宋体" w:hAnsi="宋体" w:eastAsia="宋体" w:cs="宋体"/>
                <w:kern w:val="0"/>
                <w:sz w:val="22"/>
                <w:szCs w:val="22"/>
                <w:lang w:bidi="ar"/>
              </w:rPr>
            </w:pPr>
            <w:r>
              <w:rPr>
                <w:rFonts w:hint="eastAsia" w:ascii="宋体" w:hAnsi="宋体" w:eastAsia="宋体" w:cs="宋体"/>
                <w:kern w:val="0"/>
                <w:sz w:val="22"/>
                <w:szCs w:val="22"/>
              </w:rPr>
              <w:t>根据投标人对</w:t>
            </w:r>
            <w:r>
              <w:rPr>
                <w:rFonts w:hint="eastAsia" w:ascii="宋体" w:hAnsi="宋体" w:eastAsia="宋体" w:cs="Times New Roman"/>
                <w:kern w:val="0"/>
                <w:sz w:val="22"/>
                <w:szCs w:val="22"/>
              </w:rPr>
              <w:t>“采购需求”中的项目清单</w:t>
            </w:r>
            <w:r>
              <w:rPr>
                <w:rFonts w:hint="eastAsia" w:ascii="宋体" w:hAnsi="宋体" w:eastAsia="宋体" w:cs="宋体"/>
                <w:kern w:val="0"/>
                <w:sz w:val="22"/>
                <w:szCs w:val="22"/>
                <w:lang w:bidi="ar"/>
              </w:rPr>
              <w:t>能够响应情况进行打分；每少一个检测项目，扣</w:t>
            </w:r>
            <w:r>
              <w:rPr>
                <w:rFonts w:ascii="Times New Roman" w:hAnsi="Times New Roman" w:eastAsia="宋体" w:cs="Times New Roman"/>
                <w:kern w:val="0"/>
                <w:sz w:val="22"/>
                <w:szCs w:val="22"/>
                <w:lang w:bidi="ar"/>
              </w:rPr>
              <w:t>2</w:t>
            </w:r>
            <w:r>
              <w:rPr>
                <w:rFonts w:hint="eastAsia" w:ascii="宋体" w:hAnsi="宋体" w:eastAsia="宋体" w:cs="宋体"/>
                <w:kern w:val="0"/>
                <w:sz w:val="22"/>
                <w:szCs w:val="22"/>
                <w:lang w:bidi="ar"/>
              </w:rPr>
              <w:t>分，扣完为止。</w:t>
            </w:r>
          </w:p>
          <w:p w14:paraId="40F2C627">
            <w:pPr>
              <w:rPr>
                <w:rFonts w:ascii="Times New Roman" w:hAnsi="Times New Roman" w:eastAsia="宋体" w:cs="Times New Roman"/>
                <w:kern w:val="0"/>
                <w:sz w:val="22"/>
                <w:szCs w:val="22"/>
              </w:rPr>
            </w:pPr>
            <w:r>
              <w:rPr>
                <w:rFonts w:hint="eastAsia" w:ascii="宋体" w:hAnsi="宋体" w:eastAsia="宋体" w:cs="宋体"/>
                <w:kern w:val="0"/>
                <w:sz w:val="22"/>
                <w:szCs w:val="22"/>
                <w:lang w:bidi="ar"/>
              </w:rPr>
              <w:t>需提供合作医院的协议及报告单，不提供不得分。</w:t>
            </w:r>
          </w:p>
        </w:tc>
        <w:tc>
          <w:tcPr>
            <w:tcW w:w="559" w:type="pct"/>
            <w:noWrap w:val="0"/>
            <w:vAlign w:val="center"/>
          </w:tcPr>
          <w:p w14:paraId="1F63329A">
            <w:pPr>
              <w:jc w:val="center"/>
              <w:rPr>
                <w:rFonts w:hint="eastAsia" w:ascii="Times New Roman" w:hAnsi="Times New Roman" w:eastAsia="宋体" w:cs="Times New Roman"/>
                <w:kern w:val="0"/>
                <w:sz w:val="22"/>
                <w:szCs w:val="22"/>
                <w:lang w:eastAsia="zh-CN"/>
              </w:rPr>
            </w:pPr>
            <w:r>
              <w:rPr>
                <w:rFonts w:hint="eastAsia" w:ascii="Times New Roman" w:hAnsi="Times New Roman" w:eastAsia="宋体" w:cs="Times New Roman"/>
                <w:kern w:val="0"/>
                <w:sz w:val="22"/>
                <w:szCs w:val="22"/>
              </w:rPr>
              <w:t>1</w:t>
            </w:r>
            <w:r>
              <w:rPr>
                <w:rFonts w:hint="eastAsia" w:ascii="Times New Roman" w:hAnsi="Times New Roman" w:eastAsia="宋体" w:cs="Times New Roman"/>
                <w:kern w:val="0"/>
                <w:sz w:val="22"/>
                <w:szCs w:val="22"/>
                <w:lang w:eastAsia="zh-CN"/>
              </w:rPr>
              <w:t>5</w:t>
            </w:r>
          </w:p>
        </w:tc>
      </w:tr>
      <w:tr w14:paraId="261D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395" w:type="pct"/>
            <w:noWrap w:val="0"/>
            <w:vAlign w:val="center"/>
          </w:tcPr>
          <w:p w14:paraId="1493C5C5">
            <w:pPr>
              <w:numPr>
                <w:ilvl w:val="0"/>
                <w:numId w:val="15"/>
              </w:numPr>
              <w:jc w:val="center"/>
              <w:rPr>
                <w:rFonts w:ascii="Times New Roman" w:hAnsi="Times New Roman" w:eastAsia="宋体" w:cs="Times New Roman"/>
                <w:kern w:val="0"/>
                <w:sz w:val="22"/>
                <w:szCs w:val="22"/>
              </w:rPr>
            </w:pPr>
          </w:p>
        </w:tc>
        <w:tc>
          <w:tcPr>
            <w:tcW w:w="712" w:type="pct"/>
            <w:noWrap w:val="0"/>
            <w:vAlign w:val="center"/>
          </w:tcPr>
          <w:p w14:paraId="6EF205F3">
            <w:pPr>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质量要求</w:t>
            </w:r>
          </w:p>
        </w:tc>
        <w:tc>
          <w:tcPr>
            <w:tcW w:w="3331" w:type="pct"/>
            <w:tcBorders>
              <w:top w:val="single" w:color="auto" w:sz="4" w:space="0"/>
              <w:left w:val="single" w:color="auto" w:sz="4" w:space="0"/>
              <w:right w:val="single" w:color="auto" w:sz="4" w:space="0"/>
            </w:tcBorders>
            <w:noWrap w:val="0"/>
            <w:vAlign w:val="center"/>
          </w:tcPr>
          <w:p w14:paraId="28267BD3">
            <w:pP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lang w:val="en-US" w:eastAsia="zh-CN"/>
              </w:rPr>
              <w:t>1</w:t>
            </w:r>
            <w:r>
              <w:rPr>
                <w:rFonts w:hint="eastAsia" w:ascii="Times New Roman" w:hAnsi="Times New Roman" w:eastAsia="宋体" w:cs="Times New Roman"/>
                <w:kern w:val="0"/>
                <w:sz w:val="22"/>
                <w:szCs w:val="22"/>
                <w:lang w:eastAsia="zh-CN"/>
              </w:rPr>
              <w:t>）</w:t>
            </w:r>
            <w:r>
              <w:rPr>
                <w:rFonts w:ascii="Times New Roman" w:hAnsi="Times New Roman" w:eastAsia="宋体" w:cs="Times New Roman"/>
                <w:kern w:val="0"/>
                <w:sz w:val="22"/>
                <w:szCs w:val="22"/>
              </w:rPr>
              <w:t>投标人拥有自主研发的药物浓度二类质谱试剂（质控）：能够检测20种以上药物的得</w:t>
            </w:r>
            <w:r>
              <w:rPr>
                <w:rFonts w:hint="eastAsia" w:ascii="Times New Roman" w:hAnsi="Times New Roman" w:eastAsia="宋体" w:cs="Times New Roman"/>
                <w:kern w:val="0"/>
                <w:sz w:val="22"/>
                <w:szCs w:val="22"/>
                <w:lang w:val="en-US" w:eastAsia="zh-CN"/>
              </w:rPr>
              <w:t>6</w:t>
            </w:r>
            <w:r>
              <w:rPr>
                <w:rFonts w:ascii="Times New Roman" w:hAnsi="Times New Roman" w:eastAsia="宋体" w:cs="Times New Roman"/>
                <w:kern w:val="0"/>
                <w:sz w:val="22"/>
                <w:szCs w:val="22"/>
              </w:rPr>
              <w:t>分，每少1种扣1分，扣完为止。提供第二类医疗器械注册证，不提供不得分</w:t>
            </w:r>
            <w:r>
              <w:rPr>
                <w:rFonts w:hint="eastAsia" w:ascii="宋体" w:hAnsi="宋体" w:eastAsia="宋体" w:cs="宋体"/>
                <w:kern w:val="0"/>
                <w:sz w:val="22"/>
                <w:szCs w:val="22"/>
              </w:rPr>
              <w:t>。</w:t>
            </w:r>
          </w:p>
          <w:p w14:paraId="366E02C9">
            <w:pPr>
              <w:rPr>
                <w:rFonts w:ascii="Times New Roman" w:hAnsi="Times New Roman" w:eastAsia="宋体" w:cs="Times New Roman"/>
                <w:kern w:val="0"/>
                <w:sz w:val="22"/>
                <w:szCs w:val="22"/>
              </w:rPr>
            </w:pPr>
            <w:r>
              <w:rPr>
                <w:rFonts w:hint="eastAsia" w:ascii="宋体" w:hAnsi="宋体" w:eastAsia="宋体" w:cs="宋体"/>
                <w:kern w:val="0"/>
                <w:sz w:val="22"/>
                <w:szCs w:val="22"/>
                <w:lang w:eastAsia="zh-CN" w:bidi="ar"/>
              </w:rPr>
              <w:t>（</w:t>
            </w:r>
            <w:r>
              <w:rPr>
                <w:rFonts w:hint="eastAsia" w:ascii="宋体" w:hAnsi="宋体" w:eastAsia="宋体" w:cs="宋体"/>
                <w:kern w:val="0"/>
                <w:sz w:val="22"/>
                <w:szCs w:val="22"/>
                <w:lang w:val="en-US" w:eastAsia="zh-CN" w:bidi="ar"/>
              </w:rPr>
              <w:t>2</w:t>
            </w:r>
            <w:r>
              <w:rPr>
                <w:rFonts w:hint="eastAsia" w:ascii="宋体" w:hAnsi="宋体" w:eastAsia="宋体" w:cs="宋体"/>
                <w:kern w:val="0"/>
                <w:sz w:val="22"/>
                <w:szCs w:val="22"/>
                <w:lang w:eastAsia="zh-CN" w:bidi="ar"/>
              </w:rPr>
              <w:t>）</w:t>
            </w:r>
            <w:r>
              <w:rPr>
                <w:rFonts w:hint="eastAsia" w:ascii="宋体" w:hAnsi="宋体" w:eastAsia="宋体" w:cs="宋体"/>
                <w:kern w:val="0"/>
                <w:sz w:val="22"/>
                <w:szCs w:val="22"/>
                <w:lang w:bidi="ar"/>
              </w:rPr>
              <w:t>投标人</w:t>
            </w:r>
            <w:r>
              <w:rPr>
                <w:rFonts w:hint="eastAsia" w:ascii="宋体" w:hAnsi="宋体" w:eastAsia="宋体" w:cs="宋体"/>
                <w:bCs/>
                <w:kern w:val="0"/>
                <w:sz w:val="22"/>
                <w:szCs w:val="22"/>
              </w:rPr>
              <w:t>的质谱配套试剂（质控品、调查品）产品满足卫生部或上海临检中心质量要求得</w:t>
            </w:r>
            <w:r>
              <w:rPr>
                <w:rFonts w:ascii="Times New Roman" w:hAnsi="Times New Roman" w:eastAsia="宋体" w:cs="Times New Roman"/>
                <w:bCs/>
                <w:kern w:val="0"/>
                <w:sz w:val="22"/>
                <w:szCs w:val="22"/>
              </w:rPr>
              <w:t>2</w:t>
            </w:r>
            <w:r>
              <w:rPr>
                <w:rFonts w:hint="eastAsia" w:ascii="宋体" w:hAnsi="宋体" w:eastAsia="宋体" w:cs="宋体"/>
                <w:bCs/>
                <w:kern w:val="0"/>
                <w:sz w:val="22"/>
                <w:szCs w:val="22"/>
              </w:rPr>
              <w:t>分。提供合作证明文件（中标公告、签订协议），不提供不得分。</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199FA2DE">
            <w:pPr>
              <w:jc w:val="center"/>
              <w:rPr>
                <w:rFonts w:hint="default" w:ascii="Times New Roman" w:hAnsi="Times New Roman" w:eastAsia="宋体" w:cs="Times New Roman"/>
                <w:kern w:val="0"/>
                <w:sz w:val="22"/>
                <w:szCs w:val="22"/>
                <w:lang w:val="en-US"/>
              </w:rPr>
            </w:pPr>
            <w:r>
              <w:rPr>
                <w:rFonts w:hint="eastAsia" w:ascii="Times New Roman" w:hAnsi="Times New Roman" w:eastAsia="宋体" w:cs="Times New Roman"/>
                <w:kern w:val="0"/>
                <w:sz w:val="22"/>
                <w:szCs w:val="22"/>
                <w:lang w:val="en-US" w:eastAsia="zh-CN" w:bidi="ar"/>
              </w:rPr>
              <w:t>8</w:t>
            </w:r>
          </w:p>
        </w:tc>
      </w:tr>
      <w:tr w14:paraId="061F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14:paraId="7F9524BC">
            <w:pPr>
              <w:numPr>
                <w:ilvl w:val="0"/>
                <w:numId w:val="15"/>
              </w:numPr>
              <w:jc w:val="center"/>
              <w:rPr>
                <w:rFonts w:hint="eastAsia" w:ascii="Times New Roman" w:hAnsi="Times New Roman" w:eastAsia="宋体" w:cs="Times New Roman"/>
                <w:kern w:val="0"/>
                <w:sz w:val="22"/>
                <w:szCs w:val="22"/>
                <w:lang w:val="en-US" w:eastAsia="zh-CN"/>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60A2858F">
            <w:pPr>
              <w:jc w:val="center"/>
              <w:textAlignment w:val="center"/>
              <w:rPr>
                <w:rFonts w:hint="default" w:ascii="宋体" w:hAnsi="宋体" w:eastAsia="宋体" w:cs="宋体"/>
                <w:kern w:val="0"/>
                <w:sz w:val="22"/>
                <w:szCs w:val="22"/>
                <w:lang w:val="en-US" w:eastAsia="zh-CN"/>
              </w:rPr>
            </w:pPr>
            <w:r>
              <w:rPr>
                <w:rFonts w:ascii="Times New Roman" w:hAnsi="Times New Roman" w:eastAsia="宋体" w:cs="Times New Roman"/>
                <w:kern w:val="0"/>
                <w:sz w:val="22"/>
                <w:szCs w:val="22"/>
                <w:lang w:bidi="ar"/>
              </w:rPr>
              <w:t>供应</w:t>
            </w:r>
            <w:r>
              <w:rPr>
                <w:rFonts w:hint="eastAsia" w:ascii="宋体" w:hAnsi="宋体" w:eastAsia="宋体" w:cs="宋体"/>
                <w:kern w:val="0"/>
                <w:sz w:val="22"/>
                <w:szCs w:val="22"/>
                <w:lang w:bidi="ar"/>
              </w:rPr>
              <w:t>商</w:t>
            </w:r>
            <w:r>
              <w:rPr>
                <w:rFonts w:hint="eastAsia" w:ascii="宋体" w:hAnsi="宋体" w:eastAsia="宋体" w:cs="宋体"/>
                <w:kern w:val="0"/>
                <w:sz w:val="22"/>
                <w:szCs w:val="22"/>
                <w:lang w:val="en-US" w:eastAsia="zh-CN" w:bidi="ar"/>
              </w:rPr>
              <w:t>综合情况</w:t>
            </w:r>
          </w:p>
        </w:tc>
        <w:tc>
          <w:tcPr>
            <w:tcW w:w="3331" w:type="pct"/>
            <w:tcBorders>
              <w:top w:val="single" w:color="auto" w:sz="4" w:space="0"/>
              <w:left w:val="single" w:color="auto" w:sz="4" w:space="0"/>
              <w:bottom w:val="single" w:color="auto" w:sz="4" w:space="0"/>
              <w:right w:val="single" w:color="auto" w:sz="4" w:space="0"/>
            </w:tcBorders>
            <w:noWrap w:val="0"/>
            <w:vAlign w:val="center"/>
          </w:tcPr>
          <w:p w14:paraId="7723C87A">
            <w:pPr>
              <w:rPr>
                <w:rFonts w:ascii="Times New Roman" w:hAnsi="Times New Roman" w:eastAsia="宋体" w:cs="Times New Roman"/>
                <w:kern w:val="0"/>
                <w:sz w:val="22"/>
                <w:szCs w:val="22"/>
              </w:rPr>
            </w:pP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投标人具有较强的科研能力，在国家卫生健康委或其直属单位开展国家级课题，提供课题任务书或项目合作协议。每提供一份得</w:t>
            </w:r>
            <w:r>
              <w:rPr>
                <w:rFonts w:hint="eastAsia" w:ascii="Times New Roman" w:hAnsi="Times New Roman" w:eastAsia="宋体" w:cs="Times New Roman"/>
                <w:kern w:val="0"/>
                <w:sz w:val="22"/>
                <w:szCs w:val="22"/>
                <w:lang w:val="en-US" w:eastAsia="zh-CN"/>
              </w:rPr>
              <w:t>2</w:t>
            </w:r>
            <w:r>
              <w:rPr>
                <w:rFonts w:hint="eastAsia" w:ascii="宋体" w:hAnsi="宋体" w:eastAsia="宋体" w:cs="宋体"/>
                <w:kern w:val="0"/>
                <w:sz w:val="22"/>
                <w:szCs w:val="22"/>
              </w:rPr>
              <w:t>分，最多得</w:t>
            </w:r>
            <w:r>
              <w:rPr>
                <w:rFonts w:hint="eastAsia" w:ascii="Times New Roman" w:hAnsi="Times New Roman" w:eastAsia="宋体" w:cs="Times New Roman"/>
                <w:kern w:val="0"/>
                <w:sz w:val="22"/>
                <w:szCs w:val="22"/>
                <w:lang w:val="en-US" w:eastAsia="zh-CN"/>
              </w:rPr>
              <w:t>4</w:t>
            </w:r>
            <w:r>
              <w:rPr>
                <w:rFonts w:hint="eastAsia" w:ascii="宋体" w:hAnsi="宋体" w:eastAsia="宋体" w:cs="宋体"/>
                <w:kern w:val="0"/>
                <w:sz w:val="22"/>
                <w:szCs w:val="22"/>
              </w:rPr>
              <w:t>分；不提供不得分。</w:t>
            </w:r>
          </w:p>
          <w:p w14:paraId="000C402F">
            <w:pPr>
              <w:rPr>
                <w:rFonts w:ascii="Times New Roman" w:hAnsi="Times New Roman" w:eastAsia="宋体" w:cs="Times New Roman"/>
                <w:kern w:val="0"/>
                <w:sz w:val="22"/>
                <w:szCs w:val="22"/>
              </w:rPr>
            </w:pPr>
            <w:r>
              <w:rPr>
                <w:rFonts w:hint="eastAsia" w:ascii="宋体" w:hAnsi="宋体" w:eastAsia="宋体" w:cs="宋体"/>
                <w:kern w:val="0"/>
                <w:sz w:val="22"/>
                <w:szCs w:val="22"/>
                <w:lang w:eastAsia="zh-CN" w:bidi="ar"/>
              </w:rPr>
              <w:t>（</w:t>
            </w:r>
            <w:r>
              <w:rPr>
                <w:rFonts w:hint="eastAsia" w:ascii="宋体" w:hAnsi="宋体" w:eastAsia="宋体" w:cs="宋体"/>
                <w:kern w:val="0"/>
                <w:sz w:val="22"/>
                <w:szCs w:val="22"/>
                <w:lang w:val="en-US" w:eastAsia="zh-CN" w:bidi="ar"/>
              </w:rPr>
              <w:t>2</w:t>
            </w:r>
            <w:r>
              <w:rPr>
                <w:rFonts w:hint="eastAsia" w:ascii="宋体" w:hAnsi="宋体" w:eastAsia="宋体" w:cs="宋体"/>
                <w:kern w:val="0"/>
                <w:sz w:val="22"/>
                <w:szCs w:val="22"/>
                <w:lang w:eastAsia="zh-CN" w:bidi="ar"/>
              </w:rPr>
              <w:t>）</w:t>
            </w:r>
            <w:r>
              <w:rPr>
                <w:rFonts w:hint="eastAsia" w:ascii="宋体" w:hAnsi="宋体" w:eastAsia="宋体" w:cs="宋体"/>
                <w:kern w:val="0"/>
                <w:sz w:val="22"/>
                <w:szCs w:val="22"/>
                <w:lang w:bidi="ar"/>
              </w:rPr>
              <w:t>投标人在质谱检测领域有一定技术积累，参与制定过质谱行业项目相关的中国标准化协会团体标准，提供相关证明材料得</w:t>
            </w:r>
            <w:r>
              <w:rPr>
                <w:rFonts w:ascii="Times New Roman" w:hAnsi="Times New Roman" w:eastAsia="宋体" w:cs="Times New Roman"/>
                <w:kern w:val="0"/>
                <w:sz w:val="22"/>
                <w:szCs w:val="22"/>
                <w:lang w:bidi="ar"/>
              </w:rPr>
              <w:t>2</w:t>
            </w:r>
            <w:r>
              <w:rPr>
                <w:rFonts w:hint="eastAsia" w:ascii="宋体" w:hAnsi="宋体" w:eastAsia="宋体" w:cs="宋体"/>
                <w:kern w:val="0"/>
                <w:sz w:val="22"/>
                <w:szCs w:val="22"/>
                <w:lang w:bidi="ar"/>
              </w:rPr>
              <w:t>分。</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2F55CB90">
            <w:pPr>
              <w:jc w:val="center"/>
              <w:rPr>
                <w:rFonts w:hint="eastAsia" w:ascii="Times New Roman" w:hAnsi="Times New Roman" w:eastAsia="宋体" w:cs="Times New Roman"/>
                <w:kern w:val="0"/>
                <w:sz w:val="22"/>
                <w:szCs w:val="22"/>
                <w:lang w:eastAsia="zh-CN"/>
              </w:rPr>
            </w:pPr>
            <w:r>
              <w:rPr>
                <w:rFonts w:hint="eastAsia" w:ascii="Times New Roman" w:hAnsi="Times New Roman" w:eastAsia="宋体" w:cs="Times New Roman"/>
                <w:kern w:val="0"/>
                <w:sz w:val="22"/>
                <w:szCs w:val="22"/>
                <w:lang w:val="en-US" w:eastAsia="zh-CN" w:bidi="ar"/>
              </w:rPr>
              <w:t>6</w:t>
            </w:r>
          </w:p>
        </w:tc>
      </w:tr>
      <w:tr w14:paraId="1954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95" w:type="pct"/>
            <w:noWrap w:val="0"/>
            <w:vAlign w:val="center"/>
          </w:tcPr>
          <w:p w14:paraId="772BD9A5">
            <w:pPr>
              <w:numPr>
                <w:ilvl w:val="0"/>
                <w:numId w:val="15"/>
              </w:numPr>
              <w:jc w:val="center"/>
              <w:rPr>
                <w:rFonts w:hint="eastAsia" w:ascii="Times New Roman" w:hAnsi="Times New Roman" w:eastAsia="宋体" w:cs="Times New Roman"/>
                <w:kern w:val="0"/>
                <w:sz w:val="22"/>
                <w:szCs w:val="22"/>
                <w:lang w:val="en-US" w:eastAsia="zh-CN"/>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7017767F">
            <w:pPr>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lang w:bidi="ar"/>
              </w:rPr>
              <w:t>整体</w:t>
            </w:r>
            <w:r>
              <w:rPr>
                <w:rFonts w:ascii="Times New Roman" w:hAnsi="Times New Roman" w:eastAsia="宋体" w:cs="Times New Roman"/>
                <w:kern w:val="0"/>
                <w:sz w:val="22"/>
                <w:szCs w:val="22"/>
                <w:lang w:bidi="ar"/>
              </w:rPr>
              <w:t>服务方</w:t>
            </w:r>
            <w:r>
              <w:rPr>
                <w:rFonts w:hint="eastAsia" w:ascii="宋体" w:hAnsi="宋体" w:eastAsia="宋体" w:cs="宋体"/>
                <w:kern w:val="0"/>
                <w:sz w:val="22"/>
                <w:szCs w:val="22"/>
                <w:lang w:bidi="ar"/>
              </w:rPr>
              <w:t>案</w:t>
            </w:r>
          </w:p>
        </w:tc>
        <w:tc>
          <w:tcPr>
            <w:tcW w:w="3331" w:type="pct"/>
            <w:tcBorders>
              <w:top w:val="single" w:color="auto" w:sz="4" w:space="0"/>
              <w:left w:val="single" w:color="auto" w:sz="4" w:space="0"/>
              <w:bottom w:val="single" w:color="auto" w:sz="4" w:space="0"/>
              <w:right w:val="single" w:color="auto" w:sz="4" w:space="0"/>
            </w:tcBorders>
            <w:noWrap w:val="0"/>
            <w:vAlign w:val="center"/>
          </w:tcPr>
          <w:p w14:paraId="059A3469">
            <w:pPr>
              <w:rPr>
                <w:rFonts w:ascii="Times New Roman" w:hAnsi="Times New Roman" w:eastAsia="宋体" w:cs="Times New Roman"/>
                <w:kern w:val="0"/>
                <w:sz w:val="22"/>
                <w:szCs w:val="22"/>
              </w:rPr>
            </w:pPr>
            <w:r>
              <w:rPr>
                <w:rFonts w:hint="eastAsia" w:ascii="宋体" w:hAnsi="宋体" w:eastAsia="宋体" w:cs="宋体"/>
                <w:kern w:val="0"/>
                <w:sz w:val="22"/>
                <w:szCs w:val="22"/>
                <w:lang w:bidi="ar"/>
              </w:rPr>
              <w:t>根据投标人提供的标本接收与运送方案、标本检验、检验检测报告交付方案、实验室质量控制方案等情况进行综合打分</w:t>
            </w:r>
            <w:r>
              <w:rPr>
                <w:rFonts w:hint="eastAsia" w:ascii="宋体" w:hAnsi="宋体" w:eastAsia="宋体" w:cs="宋体"/>
                <w:color w:val="auto"/>
                <w:kern w:val="0"/>
                <w:sz w:val="22"/>
                <w:szCs w:val="22"/>
                <w:lang w:bidi="ar"/>
              </w:rPr>
              <w:t>；完全满足采购人需求得</w:t>
            </w:r>
            <w:r>
              <w:rPr>
                <w:rFonts w:hint="eastAsia" w:ascii="Times New Roman" w:hAnsi="Times New Roman" w:eastAsia="宋体" w:cs="Times New Roman"/>
                <w:color w:val="auto"/>
                <w:kern w:val="0"/>
                <w:sz w:val="22"/>
                <w:szCs w:val="22"/>
                <w:lang w:val="en-US" w:eastAsia="zh-CN" w:bidi="ar"/>
              </w:rPr>
              <w:t>6</w:t>
            </w:r>
            <w:r>
              <w:rPr>
                <w:rFonts w:hint="eastAsia" w:ascii="宋体" w:hAnsi="宋体" w:eastAsia="宋体" w:cs="宋体"/>
                <w:color w:val="auto"/>
                <w:kern w:val="0"/>
                <w:sz w:val="22"/>
                <w:szCs w:val="22"/>
                <w:lang w:bidi="ar"/>
              </w:rPr>
              <w:t>分，</w:t>
            </w:r>
            <w:r>
              <w:rPr>
                <w:rFonts w:hint="eastAsia" w:ascii="宋体" w:hAnsi="宋体" w:eastAsia="宋体" w:cs="宋体"/>
                <w:color w:val="auto"/>
                <w:kern w:val="0"/>
                <w:sz w:val="22"/>
                <w:szCs w:val="22"/>
                <w:lang w:val="en-US" w:eastAsia="zh-CN" w:bidi="ar"/>
              </w:rPr>
              <w:t>基本满足的得4分，</w:t>
            </w:r>
            <w:r>
              <w:rPr>
                <w:rFonts w:hint="eastAsia" w:ascii="宋体" w:hAnsi="宋体" w:eastAsia="宋体" w:cs="宋体"/>
                <w:color w:val="auto"/>
                <w:kern w:val="0"/>
                <w:sz w:val="22"/>
                <w:szCs w:val="22"/>
                <w:lang w:bidi="ar"/>
              </w:rPr>
              <w:t>部分满足得</w:t>
            </w:r>
            <w:r>
              <w:rPr>
                <w:rFonts w:hint="eastAsia" w:ascii="Times New Roman" w:hAnsi="Times New Roman" w:eastAsia="宋体" w:cs="Times New Roman"/>
                <w:color w:val="auto"/>
                <w:kern w:val="0"/>
                <w:sz w:val="22"/>
                <w:szCs w:val="22"/>
                <w:lang w:val="en-US" w:eastAsia="zh-CN" w:bidi="ar"/>
              </w:rPr>
              <w:t>2</w:t>
            </w:r>
            <w:r>
              <w:rPr>
                <w:rFonts w:hint="eastAsia" w:ascii="宋体" w:hAnsi="宋体" w:eastAsia="宋体" w:cs="宋体"/>
                <w:color w:val="auto"/>
                <w:kern w:val="0"/>
                <w:sz w:val="22"/>
                <w:szCs w:val="22"/>
                <w:lang w:bidi="ar"/>
              </w:rPr>
              <w:t>分，不满足的不得分。</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21D0B995">
            <w:pPr>
              <w:jc w:val="center"/>
              <w:rPr>
                <w:rFonts w:hint="eastAsia" w:ascii="Times New Roman" w:hAnsi="Times New Roman" w:eastAsia="宋体" w:cs="Times New Roman"/>
                <w:kern w:val="0"/>
                <w:sz w:val="22"/>
                <w:szCs w:val="22"/>
                <w:lang w:eastAsia="zh-CN"/>
              </w:rPr>
            </w:pPr>
            <w:r>
              <w:rPr>
                <w:rFonts w:hint="eastAsia" w:ascii="Times New Roman" w:hAnsi="Times New Roman" w:eastAsia="宋体" w:cs="Times New Roman"/>
                <w:color w:val="0000FF"/>
                <w:kern w:val="0"/>
                <w:sz w:val="22"/>
                <w:szCs w:val="22"/>
                <w:lang w:val="en-US" w:eastAsia="zh-CN" w:bidi="ar"/>
              </w:rPr>
              <w:t>6</w:t>
            </w:r>
          </w:p>
        </w:tc>
      </w:tr>
      <w:tr w14:paraId="119D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95" w:type="pct"/>
            <w:noWrap w:val="0"/>
            <w:vAlign w:val="center"/>
          </w:tcPr>
          <w:p w14:paraId="77C04802">
            <w:pPr>
              <w:numPr>
                <w:ilvl w:val="0"/>
                <w:numId w:val="15"/>
              </w:numPr>
              <w:jc w:val="center"/>
              <w:rPr>
                <w:rFonts w:hint="eastAsia" w:ascii="Times New Roman" w:hAnsi="Times New Roman" w:eastAsia="宋体" w:cs="Times New Roman"/>
                <w:kern w:val="0"/>
                <w:sz w:val="22"/>
                <w:szCs w:val="22"/>
                <w:lang w:val="en-US" w:eastAsia="zh-CN"/>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28AAF9CB">
            <w:pPr>
              <w:jc w:val="center"/>
              <w:rPr>
                <w:rFonts w:ascii="Times New Roman" w:hAnsi="Times New Roman" w:eastAsia="宋体" w:cs="Times New Roman"/>
                <w:kern w:val="0"/>
                <w:sz w:val="22"/>
                <w:szCs w:val="22"/>
                <w:lang w:bidi="ar"/>
              </w:rPr>
            </w:pPr>
            <w:r>
              <w:rPr>
                <w:rFonts w:hint="eastAsia" w:ascii="Times New Roman" w:hAnsi="Times New Roman" w:eastAsia="宋体" w:cs="Times New Roman"/>
                <w:kern w:val="0"/>
                <w:sz w:val="22"/>
                <w:szCs w:val="22"/>
                <w:lang w:bidi="ar"/>
              </w:rPr>
              <w:t>物流服务</w:t>
            </w:r>
          </w:p>
        </w:tc>
        <w:tc>
          <w:tcPr>
            <w:tcW w:w="3331" w:type="pct"/>
            <w:tcBorders>
              <w:top w:val="single" w:color="auto" w:sz="4" w:space="0"/>
              <w:left w:val="single" w:color="auto" w:sz="4" w:space="0"/>
              <w:bottom w:val="single" w:color="auto" w:sz="4" w:space="0"/>
              <w:right w:val="single" w:color="auto" w:sz="4" w:space="0"/>
            </w:tcBorders>
            <w:noWrap w:val="0"/>
            <w:vAlign w:val="center"/>
          </w:tcPr>
          <w:p w14:paraId="0B15EDD8">
            <w:pPr>
              <w:rPr>
                <w:rFonts w:ascii="宋体" w:hAnsi="宋体" w:eastAsia="宋体" w:cs="宋体"/>
                <w:kern w:val="0"/>
                <w:sz w:val="22"/>
                <w:szCs w:val="22"/>
                <w:lang w:bidi="ar"/>
              </w:rPr>
            </w:pPr>
            <w:r>
              <w:rPr>
                <w:rFonts w:hint="eastAsia" w:ascii="宋体" w:hAnsi="宋体" w:eastAsia="宋体" w:cs="宋体"/>
                <w:kern w:val="0"/>
                <w:sz w:val="22"/>
                <w:szCs w:val="22"/>
              </w:rPr>
              <w:t>投标人具有自营冷链物流服务体系（投标人拥有自己的冷链物流配送单位或物流公司为投标人全资控股或物流公司为同一母公司全资控股公司）且相关冷链物流公司具有《营业执照》及《道路运输经营许可证》者得3分；由第三方物流公司负责接收标本者得1分，提供双方委托协议和配送单位资质文件复印件。未提供证明资料和提供证明资料不全不得分</w:t>
            </w:r>
            <w:r>
              <w:rPr>
                <w:rFonts w:hint="eastAsia" w:ascii="Times New Roman" w:hAnsi="Times New Roman" w:eastAsia="宋体" w:cs="Times New Roman"/>
                <w:kern w:val="0"/>
                <w:sz w:val="22"/>
                <w:szCs w:val="22"/>
              </w:rPr>
              <w:t>。</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098FB237">
            <w:pPr>
              <w:jc w:val="center"/>
              <w:rPr>
                <w:rFonts w:ascii="Times New Roman" w:hAnsi="Times New Roman" w:eastAsia="宋体" w:cs="Times New Roman"/>
                <w:kern w:val="0"/>
                <w:sz w:val="22"/>
                <w:szCs w:val="22"/>
                <w:lang w:bidi="ar"/>
              </w:rPr>
            </w:pPr>
            <w:r>
              <w:rPr>
                <w:rFonts w:hint="eastAsia" w:ascii="Times New Roman" w:hAnsi="Times New Roman" w:eastAsia="宋体" w:cs="Times New Roman"/>
                <w:kern w:val="0"/>
                <w:sz w:val="22"/>
                <w:szCs w:val="22"/>
                <w:lang w:bidi="ar"/>
              </w:rPr>
              <w:t>3</w:t>
            </w:r>
          </w:p>
        </w:tc>
      </w:tr>
      <w:tr w14:paraId="2E8D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14:paraId="04C18447">
            <w:pPr>
              <w:numPr>
                <w:ilvl w:val="0"/>
                <w:numId w:val="15"/>
              </w:numPr>
              <w:jc w:val="center"/>
              <w:rPr>
                <w:rFonts w:hint="eastAsia" w:ascii="Times New Roman" w:hAnsi="Times New Roman" w:eastAsia="宋体" w:cs="Times New Roman"/>
                <w:kern w:val="0"/>
                <w:sz w:val="22"/>
                <w:szCs w:val="22"/>
                <w:lang w:val="en-US" w:eastAsia="zh-CN"/>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113C425D">
            <w:pPr>
              <w:jc w:val="center"/>
              <w:rPr>
                <w:rFonts w:ascii="Times New Roman" w:hAnsi="Times New Roman" w:eastAsia="宋体" w:cs="Times New Roman"/>
                <w:kern w:val="0"/>
                <w:sz w:val="22"/>
                <w:szCs w:val="22"/>
                <w:lang w:bidi="ar"/>
              </w:rPr>
            </w:pPr>
            <w:r>
              <w:rPr>
                <w:rFonts w:hint="eastAsia" w:ascii="Times New Roman" w:hAnsi="Times New Roman" w:eastAsia="宋体" w:cs="Times New Roman"/>
                <w:kern w:val="0"/>
                <w:sz w:val="22"/>
                <w:szCs w:val="22"/>
                <w:lang w:bidi="ar"/>
              </w:rPr>
              <w:t>室间质评情况</w:t>
            </w:r>
          </w:p>
        </w:tc>
        <w:tc>
          <w:tcPr>
            <w:tcW w:w="3331" w:type="pct"/>
            <w:tcBorders>
              <w:top w:val="single" w:color="auto" w:sz="4" w:space="0"/>
              <w:left w:val="single" w:color="auto" w:sz="4" w:space="0"/>
              <w:bottom w:val="single" w:color="auto" w:sz="4" w:space="0"/>
              <w:right w:val="single" w:color="auto" w:sz="4" w:space="0"/>
            </w:tcBorders>
            <w:noWrap w:val="0"/>
            <w:vAlign w:val="center"/>
          </w:tcPr>
          <w:p w14:paraId="66936014">
            <w:pPr>
              <w:rPr>
                <w:rFonts w:ascii="Times New Roman" w:hAnsi="Times New Roman" w:eastAsia="宋体" w:cs="Times New Roman"/>
                <w:kern w:val="0"/>
                <w:sz w:val="22"/>
                <w:szCs w:val="22"/>
              </w:rPr>
            </w:pP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投标人</w:t>
            </w:r>
            <w:r>
              <w:rPr>
                <w:rFonts w:hint="eastAsia" w:ascii="Times New Roman" w:hAnsi="Times New Roman" w:eastAsia="宋体" w:cs="Times New Roman"/>
                <w:kern w:val="0"/>
                <w:sz w:val="22"/>
                <w:szCs w:val="22"/>
              </w:rPr>
              <w:t>.参加2024年国家卫健委招标项目相关室间质评并成绩合格的，每提供一份得0.5分，最多得2分；</w:t>
            </w:r>
          </w:p>
          <w:p w14:paraId="00AAC860">
            <w:pPr>
              <w:rPr>
                <w:rFonts w:ascii="Times New Roman" w:hAnsi="Times New Roman" w:eastAsia="宋体" w:cs="Times New Roman"/>
                <w:kern w:val="0"/>
                <w:sz w:val="22"/>
                <w:szCs w:val="22"/>
              </w:rPr>
            </w:pP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投标人</w:t>
            </w:r>
            <w:r>
              <w:rPr>
                <w:rFonts w:hint="eastAsia" w:ascii="Times New Roman" w:hAnsi="Times New Roman" w:eastAsia="宋体" w:cs="Times New Roman"/>
                <w:kern w:val="0"/>
                <w:sz w:val="22"/>
                <w:szCs w:val="22"/>
              </w:rPr>
              <w:t>参加2024年LGC国际室间质评并成绩合格的，得3分。</w:t>
            </w:r>
          </w:p>
          <w:p w14:paraId="46EBB21A">
            <w:pPr>
              <w:rPr>
                <w:rFonts w:ascii="宋体" w:hAnsi="宋体" w:eastAsia="宋体" w:cs="宋体"/>
                <w:kern w:val="0"/>
                <w:sz w:val="22"/>
                <w:szCs w:val="22"/>
                <w:lang w:bidi="ar"/>
              </w:rPr>
            </w:pPr>
            <w:r>
              <w:rPr>
                <w:rFonts w:hint="eastAsia" w:ascii="Times New Roman" w:hAnsi="Times New Roman" w:eastAsia="宋体" w:cs="Times New Roman"/>
                <w:kern w:val="0"/>
                <w:sz w:val="22"/>
                <w:szCs w:val="22"/>
              </w:rPr>
              <w:t>提供证书扫描件，不提供或与招标项目无关不得分。</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1C2F6605">
            <w:pPr>
              <w:jc w:val="center"/>
              <w:rPr>
                <w:rFonts w:ascii="Times New Roman" w:hAnsi="Times New Roman" w:eastAsia="宋体" w:cs="Times New Roman"/>
                <w:kern w:val="0"/>
                <w:sz w:val="22"/>
                <w:szCs w:val="22"/>
                <w:lang w:bidi="ar"/>
              </w:rPr>
            </w:pPr>
            <w:r>
              <w:rPr>
                <w:rFonts w:hint="eastAsia" w:ascii="Times New Roman" w:hAnsi="Times New Roman" w:eastAsia="宋体" w:cs="Times New Roman"/>
                <w:kern w:val="0"/>
                <w:sz w:val="22"/>
                <w:szCs w:val="22"/>
                <w:lang w:bidi="ar"/>
              </w:rPr>
              <w:t>5</w:t>
            </w:r>
          </w:p>
        </w:tc>
      </w:tr>
      <w:tr w14:paraId="36D0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14:paraId="3E1E6A00">
            <w:pPr>
              <w:numPr>
                <w:ilvl w:val="0"/>
                <w:numId w:val="15"/>
              </w:numPr>
              <w:jc w:val="center"/>
              <w:rPr>
                <w:rFonts w:hint="eastAsia" w:ascii="Times New Roman" w:hAnsi="Times New Roman" w:eastAsia="宋体" w:cs="Times New Roman"/>
                <w:kern w:val="0"/>
                <w:sz w:val="22"/>
                <w:szCs w:val="22"/>
                <w:lang w:val="en-US" w:eastAsia="zh-CN"/>
              </w:rPr>
            </w:pPr>
          </w:p>
        </w:tc>
        <w:tc>
          <w:tcPr>
            <w:tcW w:w="712" w:type="pct"/>
            <w:noWrap w:val="0"/>
            <w:vAlign w:val="center"/>
          </w:tcPr>
          <w:p w14:paraId="1AAD837C">
            <w:pPr>
              <w:jc w:val="center"/>
              <w:rPr>
                <w:rFonts w:ascii="宋体" w:hAnsi="宋体" w:eastAsia="宋体" w:cs="宋体"/>
                <w:kern w:val="0"/>
                <w:sz w:val="22"/>
                <w:szCs w:val="22"/>
              </w:rPr>
            </w:pPr>
            <w:r>
              <w:rPr>
                <w:rFonts w:hint="eastAsia" w:ascii="宋体" w:hAnsi="宋体" w:eastAsia="宋体" w:cs="宋体"/>
                <w:kern w:val="0"/>
                <w:sz w:val="22"/>
                <w:szCs w:val="22"/>
              </w:rPr>
              <w:t>实验室人员</w:t>
            </w:r>
          </w:p>
        </w:tc>
        <w:tc>
          <w:tcPr>
            <w:tcW w:w="3331" w:type="pct"/>
            <w:noWrap w:val="0"/>
            <w:vAlign w:val="center"/>
          </w:tcPr>
          <w:p w14:paraId="124CF31B">
            <w:pPr>
              <w:jc w:val="left"/>
              <w:rPr>
                <w:rFonts w:ascii="宋体" w:hAnsi="宋体" w:eastAsia="宋体" w:cs="宋体"/>
                <w:kern w:val="0"/>
                <w:sz w:val="22"/>
                <w:szCs w:val="22"/>
                <w:lang w:val="zh-CN" w:bidi="zh-CN"/>
              </w:rPr>
            </w:pPr>
            <w:r>
              <w:rPr>
                <w:rFonts w:hint="eastAsia" w:ascii="宋体" w:hAnsi="宋体" w:eastAsia="宋体" w:cs="宋体"/>
                <w:kern w:val="0"/>
                <w:sz w:val="22"/>
                <w:szCs w:val="22"/>
                <w:lang w:val="zh-CN" w:bidi="zh-CN"/>
              </w:rPr>
              <w:t>投标人配备1名临床类执业医师且具有副高及以上职称得2分；</w:t>
            </w:r>
          </w:p>
          <w:p w14:paraId="0F6762E9">
            <w:pPr>
              <w:jc w:val="left"/>
              <w:rPr>
                <w:rFonts w:ascii="宋体" w:hAnsi="宋体" w:eastAsia="宋体" w:cs="宋体"/>
                <w:kern w:val="0"/>
                <w:sz w:val="22"/>
                <w:szCs w:val="22"/>
                <w:lang w:val="zh-CN" w:bidi="zh-CN"/>
              </w:rPr>
            </w:pPr>
            <w:r>
              <w:rPr>
                <w:rFonts w:hint="eastAsia" w:ascii="宋体" w:hAnsi="宋体" w:eastAsia="宋体" w:cs="宋体"/>
                <w:kern w:val="0"/>
                <w:sz w:val="22"/>
                <w:szCs w:val="22"/>
                <w:lang w:val="zh-CN" w:bidi="zh-CN"/>
              </w:rPr>
              <w:t>投标人配备5名及以上医学检验专业的临床检测人员得</w:t>
            </w:r>
            <w:r>
              <w:rPr>
                <w:rFonts w:hint="eastAsia" w:ascii="宋体" w:hAnsi="宋体" w:eastAsia="宋体" w:cs="宋体"/>
                <w:kern w:val="0"/>
                <w:sz w:val="22"/>
                <w:szCs w:val="22"/>
                <w:lang w:bidi="zh-CN"/>
              </w:rPr>
              <w:t>1</w:t>
            </w:r>
            <w:r>
              <w:rPr>
                <w:rFonts w:hint="eastAsia" w:ascii="宋体" w:hAnsi="宋体" w:eastAsia="宋体" w:cs="宋体"/>
                <w:kern w:val="0"/>
                <w:sz w:val="22"/>
                <w:szCs w:val="22"/>
                <w:lang w:val="zh-CN" w:bidi="zh-CN"/>
              </w:rPr>
              <w:t>分，其中具有副高及以上医学检验</w:t>
            </w:r>
            <w:r>
              <w:rPr>
                <w:rFonts w:hint="eastAsia" w:ascii="宋体" w:hAnsi="宋体" w:eastAsia="宋体" w:cs="宋体"/>
                <w:kern w:val="0"/>
                <w:sz w:val="22"/>
                <w:szCs w:val="22"/>
                <w:lang w:bidi="zh-CN"/>
              </w:rPr>
              <w:t>专业</w:t>
            </w:r>
            <w:r>
              <w:rPr>
                <w:rFonts w:hint="eastAsia" w:ascii="宋体" w:hAnsi="宋体" w:eastAsia="宋体" w:cs="宋体"/>
                <w:kern w:val="0"/>
                <w:sz w:val="22"/>
                <w:szCs w:val="22"/>
                <w:lang w:val="zh-CN" w:bidi="zh-CN"/>
              </w:rPr>
              <w:t>职称的每人加</w:t>
            </w:r>
            <w:r>
              <w:rPr>
                <w:rFonts w:hint="eastAsia" w:ascii="宋体" w:hAnsi="宋体" w:eastAsia="宋体" w:cs="宋体"/>
                <w:kern w:val="0"/>
                <w:sz w:val="22"/>
                <w:szCs w:val="22"/>
                <w:lang w:bidi="zh-CN"/>
              </w:rPr>
              <w:t>1</w:t>
            </w:r>
            <w:r>
              <w:rPr>
                <w:rFonts w:hint="eastAsia" w:ascii="宋体" w:hAnsi="宋体" w:eastAsia="宋体" w:cs="宋体"/>
                <w:kern w:val="0"/>
                <w:sz w:val="22"/>
                <w:szCs w:val="22"/>
                <w:lang w:val="zh-CN" w:bidi="zh-CN"/>
              </w:rPr>
              <w:t>分，最多加</w:t>
            </w:r>
            <w:r>
              <w:rPr>
                <w:rFonts w:hint="eastAsia" w:ascii="宋体" w:hAnsi="宋体" w:eastAsia="宋体" w:cs="宋体"/>
                <w:kern w:val="0"/>
                <w:sz w:val="22"/>
                <w:szCs w:val="22"/>
                <w:lang w:bidi="zh-CN"/>
              </w:rPr>
              <w:t>2</w:t>
            </w:r>
            <w:r>
              <w:rPr>
                <w:rFonts w:hint="eastAsia" w:ascii="宋体" w:hAnsi="宋体" w:eastAsia="宋体" w:cs="宋体"/>
                <w:kern w:val="0"/>
                <w:sz w:val="22"/>
                <w:szCs w:val="22"/>
                <w:lang w:val="zh-CN" w:bidi="zh-CN"/>
              </w:rPr>
              <w:t>分。</w:t>
            </w:r>
          </w:p>
          <w:p w14:paraId="3DF772DB">
            <w:pPr>
              <w:rPr>
                <w:rFonts w:ascii="Times New Roman" w:hAnsi="Times New Roman" w:eastAsia="宋体" w:cs="Times New Roman"/>
                <w:kern w:val="0"/>
                <w:sz w:val="22"/>
                <w:szCs w:val="22"/>
              </w:rPr>
            </w:pPr>
            <w:r>
              <w:rPr>
                <w:rFonts w:hint="eastAsia" w:ascii="宋体" w:hAnsi="宋体" w:eastAsia="宋体" w:cs="宋体"/>
                <w:kern w:val="0"/>
                <w:sz w:val="22"/>
                <w:szCs w:val="22"/>
                <w:lang w:val="zh-CN" w:bidi="zh-CN"/>
              </w:rPr>
              <w:t>需提供</w:t>
            </w:r>
            <w:r>
              <w:rPr>
                <w:rFonts w:hint="eastAsia" w:ascii="宋体" w:hAnsi="宋体" w:eastAsia="宋体" w:cs="宋体"/>
                <w:kern w:val="0"/>
                <w:sz w:val="22"/>
                <w:szCs w:val="22"/>
                <w:lang w:bidi="zh-CN"/>
              </w:rPr>
              <w:t>职称</w:t>
            </w:r>
            <w:r>
              <w:rPr>
                <w:rFonts w:hint="eastAsia" w:ascii="宋体" w:hAnsi="宋体" w:eastAsia="宋体" w:cs="宋体"/>
                <w:kern w:val="0"/>
                <w:sz w:val="22"/>
                <w:szCs w:val="22"/>
                <w:lang w:val="zh-CN" w:bidi="zh-CN"/>
              </w:rPr>
              <w:t>证书扫描件及本单位近一个月社保证明（</w:t>
            </w:r>
            <w:r>
              <w:rPr>
                <w:rFonts w:hint="eastAsia" w:ascii="宋体" w:hAnsi="宋体" w:eastAsia="宋体" w:cs="宋体"/>
                <w:kern w:val="0"/>
                <w:sz w:val="22"/>
                <w:szCs w:val="22"/>
                <w:lang w:bidi="zh-CN"/>
              </w:rPr>
              <w:t>如为退休人员，提供返聘合同</w:t>
            </w:r>
            <w:r>
              <w:rPr>
                <w:rFonts w:hint="eastAsia" w:ascii="宋体" w:hAnsi="宋体" w:eastAsia="宋体" w:cs="宋体"/>
                <w:kern w:val="0"/>
                <w:sz w:val="22"/>
                <w:szCs w:val="22"/>
                <w:lang w:val="zh-CN" w:bidi="zh-CN"/>
              </w:rPr>
              <w:t>），否则不得分。</w:t>
            </w:r>
          </w:p>
        </w:tc>
        <w:tc>
          <w:tcPr>
            <w:tcW w:w="559" w:type="pct"/>
            <w:noWrap w:val="0"/>
            <w:vAlign w:val="center"/>
          </w:tcPr>
          <w:p w14:paraId="5200EA13">
            <w:pPr>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5</w:t>
            </w:r>
          </w:p>
        </w:tc>
      </w:tr>
      <w:tr w14:paraId="4543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14:paraId="760B0FAC">
            <w:pPr>
              <w:numPr>
                <w:ilvl w:val="0"/>
                <w:numId w:val="15"/>
              </w:numPr>
              <w:jc w:val="center"/>
              <w:rPr>
                <w:rFonts w:hint="default" w:ascii="Times New Roman" w:hAnsi="Times New Roman" w:eastAsia="宋体" w:cs="Times New Roman"/>
                <w:kern w:val="0"/>
                <w:sz w:val="22"/>
                <w:szCs w:val="22"/>
                <w:lang w:val="en-US" w:eastAsia="zh-CN"/>
              </w:rPr>
            </w:pPr>
          </w:p>
        </w:tc>
        <w:tc>
          <w:tcPr>
            <w:tcW w:w="712" w:type="pct"/>
            <w:noWrap w:val="0"/>
            <w:vAlign w:val="center"/>
          </w:tcPr>
          <w:p w14:paraId="22E11E25">
            <w:pPr>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业绩</w:t>
            </w:r>
          </w:p>
        </w:tc>
        <w:tc>
          <w:tcPr>
            <w:tcW w:w="3331" w:type="pct"/>
            <w:noWrap w:val="0"/>
            <w:vAlign w:val="center"/>
          </w:tcPr>
          <w:p w14:paraId="0A23C4E1">
            <w:pP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类似案例成功的业绩：投标人提供与外送检验合作项目（含有质谱类检验项目）的业绩，每一个得</w:t>
            </w:r>
            <w:r>
              <w:rPr>
                <w:rFonts w:ascii="Times New Roman" w:hAnsi="Times New Roman" w:eastAsia="宋体" w:cs="Times New Roman"/>
                <w:kern w:val="0"/>
                <w:sz w:val="22"/>
                <w:szCs w:val="22"/>
              </w:rPr>
              <w:t xml:space="preserve"> 1分，最高得 </w:t>
            </w:r>
            <w:r>
              <w:rPr>
                <w:rFonts w:hint="eastAsia" w:ascii="Times New Roman" w:hAnsi="Times New Roman" w:eastAsia="宋体" w:cs="Times New Roman"/>
                <w:kern w:val="0"/>
                <w:sz w:val="22"/>
                <w:szCs w:val="22"/>
              </w:rPr>
              <w:t>2</w:t>
            </w:r>
            <w:r>
              <w:rPr>
                <w:rFonts w:ascii="Times New Roman" w:hAnsi="Times New Roman" w:eastAsia="宋体" w:cs="Times New Roman"/>
                <w:kern w:val="0"/>
                <w:sz w:val="22"/>
                <w:szCs w:val="22"/>
              </w:rPr>
              <w:t>分。需提供合同</w:t>
            </w:r>
            <w:r>
              <w:rPr>
                <w:rFonts w:hint="eastAsia" w:ascii="Times New Roman" w:hAnsi="Times New Roman" w:eastAsia="宋体" w:cs="Times New Roman"/>
                <w:kern w:val="0"/>
                <w:sz w:val="22"/>
                <w:szCs w:val="22"/>
              </w:rPr>
              <w:t>扫描</w:t>
            </w:r>
            <w:r>
              <w:rPr>
                <w:rFonts w:ascii="Times New Roman" w:hAnsi="Times New Roman" w:eastAsia="宋体" w:cs="Times New Roman"/>
                <w:kern w:val="0"/>
                <w:sz w:val="22"/>
                <w:szCs w:val="22"/>
              </w:rPr>
              <w:t>件</w:t>
            </w:r>
            <w:r>
              <w:rPr>
                <w:rFonts w:hint="eastAsia" w:ascii="Times New Roman" w:hAnsi="Times New Roman" w:eastAsia="宋体" w:cs="Times New Roman"/>
                <w:kern w:val="0"/>
                <w:sz w:val="22"/>
                <w:szCs w:val="22"/>
              </w:rPr>
              <w:t>作为证明文件</w:t>
            </w:r>
            <w:r>
              <w:rPr>
                <w:rFonts w:ascii="Times New Roman" w:hAnsi="Times New Roman" w:eastAsia="宋体" w:cs="Times New Roman"/>
                <w:kern w:val="0"/>
                <w:sz w:val="22"/>
                <w:szCs w:val="22"/>
              </w:rPr>
              <w:t>。</w:t>
            </w:r>
          </w:p>
        </w:tc>
        <w:tc>
          <w:tcPr>
            <w:tcW w:w="559" w:type="pct"/>
            <w:noWrap w:val="0"/>
            <w:vAlign w:val="center"/>
          </w:tcPr>
          <w:p w14:paraId="0C54CD00">
            <w:pPr>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2</w:t>
            </w:r>
          </w:p>
        </w:tc>
      </w:tr>
      <w:tr w14:paraId="5EE3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14:paraId="305BB639">
            <w:pPr>
              <w:numPr>
                <w:ilvl w:val="0"/>
                <w:numId w:val="15"/>
              </w:numPr>
              <w:jc w:val="center"/>
              <w:rPr>
                <w:rFonts w:hint="default" w:ascii="Times New Roman" w:hAnsi="Times New Roman" w:eastAsia="宋体" w:cs="Times New Roman"/>
                <w:kern w:val="0"/>
                <w:sz w:val="22"/>
                <w:szCs w:val="22"/>
                <w:lang w:val="en-US" w:eastAsia="zh-CN"/>
              </w:rPr>
            </w:pPr>
          </w:p>
        </w:tc>
        <w:tc>
          <w:tcPr>
            <w:tcW w:w="712" w:type="pct"/>
            <w:noWrap w:val="0"/>
            <w:vAlign w:val="center"/>
          </w:tcPr>
          <w:p w14:paraId="0BA0047B">
            <w:pPr>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科研能力</w:t>
            </w:r>
          </w:p>
        </w:tc>
        <w:tc>
          <w:tcPr>
            <w:tcW w:w="3331" w:type="pct"/>
            <w:noWrap w:val="0"/>
            <w:vAlign w:val="center"/>
          </w:tcPr>
          <w:p w14:paraId="605D0E0B">
            <w:pPr>
              <w:rPr>
                <w:rFonts w:ascii="Times New Roman" w:hAnsi="Times New Roman" w:eastAsia="宋体" w:cs="Times New Roman"/>
                <w:kern w:val="0"/>
                <w:sz w:val="22"/>
                <w:szCs w:val="22"/>
              </w:rPr>
            </w:pPr>
            <w:r>
              <w:rPr>
                <w:rFonts w:hint="eastAsia" w:ascii="宋体" w:hAnsi="宋体" w:eastAsia="宋体" w:cs="宋体"/>
                <w:kern w:val="0"/>
                <w:sz w:val="22"/>
                <w:szCs w:val="22"/>
                <w:lang w:val="zh-CN" w:bidi="zh-CN"/>
              </w:rPr>
              <w:t>投标人在维生素、</w:t>
            </w:r>
            <w:r>
              <w:rPr>
                <w:rFonts w:hint="eastAsia" w:ascii="宋体" w:hAnsi="宋体" w:eastAsia="宋体" w:cs="宋体"/>
                <w:kern w:val="0"/>
                <w:sz w:val="22"/>
                <w:szCs w:val="22"/>
                <w:lang w:bidi="zh-CN"/>
              </w:rPr>
              <w:t>药物等</w:t>
            </w:r>
            <w:r>
              <w:rPr>
                <w:rFonts w:hint="eastAsia" w:ascii="宋体" w:hAnsi="宋体" w:eastAsia="宋体" w:cs="宋体"/>
                <w:kern w:val="0"/>
                <w:sz w:val="22"/>
                <w:szCs w:val="22"/>
                <w:lang w:val="zh-CN" w:bidi="zh-CN"/>
              </w:rPr>
              <w:t>检测领域有一定的科研能力，承担过相关科研合作，包括开发新项目、建立检测参考浓度范围等。以</w:t>
            </w:r>
            <w:r>
              <w:rPr>
                <w:rFonts w:ascii="宋体" w:hAnsi="宋体" w:eastAsia="宋体" w:cs="宋体"/>
                <w:kern w:val="0"/>
                <w:sz w:val="22"/>
                <w:szCs w:val="22"/>
                <w:lang w:val="zh-CN" w:bidi="zh-CN"/>
              </w:rPr>
              <w:t>科研</w:t>
            </w:r>
            <w:r>
              <w:rPr>
                <w:rFonts w:hint="eastAsia" w:ascii="宋体" w:hAnsi="宋体" w:eastAsia="宋体" w:cs="宋体"/>
                <w:kern w:val="0"/>
                <w:sz w:val="22"/>
                <w:szCs w:val="22"/>
                <w:lang w:val="zh-CN" w:bidi="zh-CN"/>
              </w:rPr>
              <w:t>协议为证明文件，</w:t>
            </w:r>
            <w:r>
              <w:rPr>
                <w:rFonts w:hint="eastAsia" w:ascii="Times New Roman" w:hAnsi="Times New Roman" w:eastAsia="宋体" w:cs="Times New Roman"/>
                <w:kern w:val="0"/>
                <w:sz w:val="22"/>
                <w:szCs w:val="22"/>
              </w:rPr>
              <w:t>每一个得</w:t>
            </w:r>
            <w:r>
              <w:rPr>
                <w:rFonts w:ascii="Times New Roman" w:hAnsi="Times New Roman" w:eastAsia="宋体" w:cs="Times New Roman"/>
                <w:kern w:val="0"/>
                <w:sz w:val="22"/>
                <w:szCs w:val="22"/>
              </w:rPr>
              <w:t xml:space="preserve"> 1分，最高得 </w:t>
            </w:r>
            <w:r>
              <w:rPr>
                <w:rFonts w:hint="eastAsia" w:ascii="Times New Roman" w:hAnsi="Times New Roman" w:eastAsia="宋体" w:cs="Times New Roman"/>
                <w:kern w:val="0"/>
                <w:sz w:val="22"/>
                <w:szCs w:val="22"/>
              </w:rPr>
              <w:t>2</w:t>
            </w:r>
            <w:r>
              <w:rPr>
                <w:rFonts w:ascii="Times New Roman" w:hAnsi="Times New Roman" w:eastAsia="宋体" w:cs="Times New Roman"/>
                <w:kern w:val="0"/>
                <w:sz w:val="22"/>
                <w:szCs w:val="22"/>
              </w:rPr>
              <w:t>分</w:t>
            </w:r>
            <w:r>
              <w:rPr>
                <w:rFonts w:hint="eastAsia" w:ascii="宋体" w:hAnsi="宋体" w:eastAsia="宋体" w:cs="宋体"/>
                <w:kern w:val="0"/>
                <w:sz w:val="22"/>
                <w:szCs w:val="22"/>
                <w:lang w:val="zh-CN" w:bidi="zh-CN"/>
              </w:rPr>
              <w:t>。</w:t>
            </w:r>
          </w:p>
        </w:tc>
        <w:tc>
          <w:tcPr>
            <w:tcW w:w="559" w:type="pct"/>
            <w:noWrap w:val="0"/>
            <w:vAlign w:val="center"/>
          </w:tcPr>
          <w:p w14:paraId="155F7147">
            <w:pPr>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2</w:t>
            </w:r>
          </w:p>
        </w:tc>
      </w:tr>
    </w:tbl>
    <w:p w14:paraId="0257B0A8">
      <w:pPr>
        <w:pStyle w:val="14"/>
        <w:rPr>
          <w:rFonts w:hint="eastAsia"/>
          <w:b/>
          <w:bCs/>
          <w:color w:val="auto"/>
          <w:sz w:val="22"/>
          <w:szCs w:val="22"/>
          <w:highlight w:val="none"/>
          <w:lang w:val="en-US" w:eastAsia="zh-CN"/>
        </w:rPr>
      </w:pPr>
    </w:p>
    <w:p w14:paraId="7D81B4D3">
      <w:pPr>
        <w:pStyle w:val="14"/>
        <w:rPr>
          <w:rFonts w:hint="default" w:eastAsia="宋体"/>
          <w:color w:val="auto"/>
          <w:highlight w:val="none"/>
          <w:lang w:val="en-US" w:eastAsia="zh-CN"/>
        </w:rPr>
      </w:pPr>
      <w:r>
        <w:rPr>
          <w:rFonts w:hint="eastAsia"/>
          <w:b/>
          <w:bCs/>
          <w:color w:val="auto"/>
          <w:sz w:val="22"/>
          <w:szCs w:val="22"/>
          <w:highlight w:val="none"/>
          <w:lang w:val="en-US" w:eastAsia="zh-CN"/>
        </w:rPr>
        <w:t>标项二：</w:t>
      </w:r>
    </w:p>
    <w:tbl>
      <w:tblPr>
        <w:tblStyle w:val="33"/>
        <w:tblpPr w:leftFromText="180" w:rightFromText="180" w:vertAnchor="text" w:horzAnchor="page" w:tblpX="1482" w:tblpY="457"/>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372"/>
        <w:gridCol w:w="6412"/>
        <w:gridCol w:w="1076"/>
      </w:tblGrid>
      <w:tr w14:paraId="1E27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noWrap w:val="0"/>
            <w:vAlign w:val="center"/>
          </w:tcPr>
          <w:p w14:paraId="29DE594C">
            <w:pPr>
              <w:jc w:val="center"/>
              <w:rPr>
                <w:rFonts w:ascii="Times New Roman" w:hAnsi="Times New Roman" w:eastAsia="宋体" w:cs="Times New Roman"/>
                <w:kern w:val="0"/>
                <w:sz w:val="22"/>
                <w:szCs w:val="22"/>
              </w:rPr>
            </w:pPr>
            <w:r>
              <w:rPr>
                <w:rFonts w:hint="eastAsia" w:ascii="宋体" w:hAnsi="宋体" w:eastAsia="宋体" w:cs="宋体"/>
                <w:b/>
                <w:bCs/>
                <w:kern w:val="0"/>
                <w:sz w:val="22"/>
                <w:szCs w:val="22"/>
                <w:lang w:val="zh-CN" w:bidi="zh-CN"/>
              </w:rPr>
              <w:t>序号</w:t>
            </w:r>
          </w:p>
        </w:tc>
        <w:tc>
          <w:tcPr>
            <w:tcW w:w="713" w:type="pct"/>
            <w:noWrap w:val="0"/>
            <w:vAlign w:val="center"/>
          </w:tcPr>
          <w:p w14:paraId="4B09DF46">
            <w:pPr>
              <w:jc w:val="center"/>
              <w:rPr>
                <w:rFonts w:ascii="宋体" w:hAnsi="宋体" w:eastAsia="宋体" w:cs="宋体"/>
                <w:b/>
                <w:bCs/>
                <w:kern w:val="0"/>
                <w:sz w:val="22"/>
                <w:szCs w:val="22"/>
                <w:lang w:val="zh-CN" w:bidi="zh-CN"/>
              </w:rPr>
            </w:pPr>
            <w:r>
              <w:rPr>
                <w:rFonts w:hint="eastAsia" w:ascii="宋体" w:hAnsi="宋体" w:eastAsia="宋体" w:cs="宋体"/>
                <w:b/>
                <w:bCs/>
                <w:kern w:val="0"/>
                <w:sz w:val="22"/>
                <w:szCs w:val="22"/>
                <w:lang w:val="zh-CN" w:bidi="zh-CN"/>
              </w:rPr>
              <w:t>评分内容</w:t>
            </w:r>
          </w:p>
        </w:tc>
        <w:tc>
          <w:tcPr>
            <w:tcW w:w="3331" w:type="pct"/>
            <w:noWrap w:val="0"/>
            <w:vAlign w:val="center"/>
          </w:tcPr>
          <w:p w14:paraId="2B2772C2">
            <w:pPr>
              <w:jc w:val="center"/>
              <w:rPr>
                <w:rFonts w:ascii="Times New Roman" w:hAnsi="Times New Roman" w:eastAsia="宋体" w:cs="Times New Roman"/>
                <w:kern w:val="0"/>
                <w:sz w:val="22"/>
                <w:szCs w:val="22"/>
              </w:rPr>
            </w:pPr>
            <w:r>
              <w:rPr>
                <w:rFonts w:hint="eastAsia" w:ascii="宋体" w:hAnsi="宋体" w:eastAsia="宋体" w:cs="宋体"/>
                <w:b/>
                <w:bCs/>
                <w:kern w:val="0"/>
                <w:sz w:val="22"/>
                <w:szCs w:val="22"/>
                <w:lang w:val="zh-CN" w:bidi="zh-CN"/>
              </w:rPr>
              <w:t>评标标准</w:t>
            </w:r>
          </w:p>
        </w:tc>
        <w:tc>
          <w:tcPr>
            <w:tcW w:w="559" w:type="pct"/>
            <w:noWrap w:val="0"/>
            <w:vAlign w:val="center"/>
          </w:tcPr>
          <w:p w14:paraId="1630AAFF">
            <w:pPr>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lang w:val="en-US" w:eastAsia="zh-CN"/>
              </w:rPr>
              <w:t>分值</w:t>
            </w:r>
          </w:p>
        </w:tc>
      </w:tr>
      <w:tr w14:paraId="4F5E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center"/>
          </w:tcPr>
          <w:p w14:paraId="61E0ABC6">
            <w:pPr>
              <w:numPr>
                <w:ilvl w:val="0"/>
                <w:numId w:val="16"/>
              </w:numPr>
              <w:jc w:val="center"/>
              <w:rPr>
                <w:rFonts w:ascii="Times New Roman" w:hAnsi="Times New Roman" w:eastAsia="宋体" w:cs="Times New Roman"/>
                <w:kern w:val="0"/>
                <w:sz w:val="22"/>
                <w:szCs w:val="22"/>
              </w:rPr>
            </w:pPr>
          </w:p>
        </w:tc>
        <w:tc>
          <w:tcPr>
            <w:tcW w:w="713" w:type="pct"/>
            <w:shd w:val="clear" w:color="auto" w:fill="auto"/>
            <w:noWrap w:val="0"/>
            <w:vAlign w:val="center"/>
          </w:tcPr>
          <w:p w14:paraId="50C260A1">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采购文件中服务要求的符合性</w:t>
            </w:r>
          </w:p>
        </w:tc>
        <w:tc>
          <w:tcPr>
            <w:tcW w:w="3331" w:type="pct"/>
            <w:shd w:val="clear" w:color="auto" w:fill="auto"/>
            <w:noWrap w:val="0"/>
            <w:vAlign w:val="center"/>
          </w:tcPr>
          <w:p w14:paraId="67E04A72">
            <w:pPr>
              <w:jc w:val="both"/>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与采购文件</w:t>
            </w:r>
            <w:r>
              <w:rPr>
                <w:rFonts w:hint="eastAsia" w:ascii="Times New Roman" w:hAnsi="Times New Roman" w:eastAsia="宋体" w:cs="Times New Roman"/>
                <w:kern w:val="0"/>
                <w:sz w:val="22"/>
                <w:szCs w:val="22"/>
                <w:lang w:val="en-US" w:eastAsia="zh-CN"/>
              </w:rPr>
              <w:t>第二部分标项二</w:t>
            </w:r>
            <w:r>
              <w:rPr>
                <w:rFonts w:hint="eastAsia" w:ascii="Times New Roman" w:hAnsi="Times New Roman" w:eastAsia="宋体" w:cs="Times New Roman"/>
                <w:kern w:val="0"/>
                <w:sz w:val="22"/>
                <w:szCs w:val="22"/>
              </w:rPr>
              <w:t>中“</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lang w:val="en-US" w:eastAsia="zh-CN"/>
              </w:rPr>
              <w:t>二</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服务要求 ”对比，实质性条款除外，一项普通指标（共计 12 项）负偏离扣 1 分，</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指标（共计8 项）负偏离的每项扣3 分，扣完为止。须提供证明材料而未提供证明材料的条款响应视为负偏离。</w:t>
            </w:r>
          </w:p>
        </w:tc>
        <w:tc>
          <w:tcPr>
            <w:tcW w:w="559" w:type="pct"/>
            <w:shd w:val="clear" w:color="auto" w:fill="auto"/>
            <w:noWrap w:val="0"/>
            <w:vAlign w:val="center"/>
          </w:tcPr>
          <w:p w14:paraId="3FB2220A">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 xml:space="preserve">36 </w:t>
            </w:r>
          </w:p>
        </w:tc>
      </w:tr>
      <w:tr w14:paraId="52B2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center"/>
          </w:tcPr>
          <w:p w14:paraId="2EC8D177">
            <w:pPr>
              <w:numPr>
                <w:ilvl w:val="0"/>
                <w:numId w:val="16"/>
              </w:numPr>
              <w:jc w:val="center"/>
              <w:rPr>
                <w:rFonts w:ascii="Times New Roman" w:hAnsi="Times New Roman" w:eastAsia="宋体" w:cs="Times New Roman"/>
                <w:kern w:val="0"/>
                <w:sz w:val="22"/>
                <w:szCs w:val="22"/>
              </w:rPr>
            </w:pPr>
          </w:p>
        </w:tc>
        <w:tc>
          <w:tcPr>
            <w:tcW w:w="7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9B4466">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实验室规模，外送项目所涉及的仪器先进性</w:t>
            </w:r>
          </w:p>
        </w:tc>
        <w:tc>
          <w:tcPr>
            <w:tcW w:w="3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23158F">
            <w:pPr>
              <w:jc w:val="both"/>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对投标人提供的本项目所涉及的仪器设备清单、品牌及方法学等进行合理性、技术先进性评价进行综合评分。（评分范围：4， 3，2，1，0）</w:t>
            </w:r>
          </w:p>
        </w:tc>
        <w:tc>
          <w:tcPr>
            <w:tcW w:w="559" w:type="pct"/>
            <w:shd w:val="clear" w:color="auto" w:fill="auto"/>
            <w:noWrap w:val="0"/>
            <w:vAlign w:val="center"/>
          </w:tcPr>
          <w:p w14:paraId="1A416FAB">
            <w:pPr>
              <w:jc w:val="center"/>
              <w:rPr>
                <w:rFonts w:hint="eastAsia"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4</w:t>
            </w:r>
          </w:p>
        </w:tc>
      </w:tr>
      <w:tr w14:paraId="0654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center"/>
          </w:tcPr>
          <w:p w14:paraId="2EB5B5A9">
            <w:pPr>
              <w:numPr>
                <w:ilvl w:val="0"/>
                <w:numId w:val="16"/>
              </w:numPr>
              <w:jc w:val="center"/>
              <w:rPr>
                <w:rFonts w:hint="eastAsia" w:ascii="Times New Roman" w:hAnsi="Times New Roman" w:eastAsia="宋体" w:cs="Times New Roman"/>
                <w:kern w:val="0"/>
                <w:sz w:val="22"/>
                <w:szCs w:val="22"/>
                <w:lang w:val="en-US" w:eastAsia="zh-CN"/>
              </w:rPr>
            </w:pPr>
          </w:p>
        </w:tc>
        <w:tc>
          <w:tcPr>
            <w:tcW w:w="7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61DBF8">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服务方案</w:t>
            </w:r>
          </w:p>
        </w:tc>
        <w:tc>
          <w:tcPr>
            <w:tcW w:w="3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567D1F">
            <w:pPr>
              <w:jc w:val="both"/>
              <w:rPr>
                <w:rFonts w:hint="eastAsia" w:ascii="Times New Roman" w:hAnsi="Times New Roman" w:eastAsia="宋体" w:cs="Times New Roman"/>
                <w:kern w:val="0"/>
                <w:sz w:val="22"/>
                <w:szCs w:val="22"/>
              </w:rPr>
            </w:pP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lang w:val="en-US" w:eastAsia="zh-CN"/>
              </w:rPr>
              <w:t>1</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样本收集、分装和储存方案的科学性和可行性进行综合评分。 （评分范围：3，2，1，0）</w:t>
            </w:r>
          </w:p>
          <w:p w14:paraId="6AED08CA">
            <w:pPr>
              <w:jc w:val="both"/>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lang w:val="en-US" w:eastAsia="zh-CN"/>
              </w:rPr>
              <w:t>2</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检测流程、检测方法等工作程序的规范性和完整性进行综合评分。（评分范围：3，2，1，0）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958EE4">
            <w:pPr>
              <w:jc w:val="center"/>
              <w:rPr>
                <w:rFonts w:hint="eastAsia"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6</w:t>
            </w:r>
          </w:p>
        </w:tc>
      </w:tr>
      <w:tr w14:paraId="7BFD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96" w:type="pct"/>
            <w:noWrap w:val="0"/>
            <w:vAlign w:val="center"/>
          </w:tcPr>
          <w:p w14:paraId="7785B11C">
            <w:pPr>
              <w:numPr>
                <w:ilvl w:val="0"/>
                <w:numId w:val="16"/>
              </w:numPr>
              <w:jc w:val="center"/>
              <w:rPr>
                <w:rFonts w:hint="eastAsia" w:ascii="Times New Roman" w:hAnsi="Times New Roman" w:eastAsia="宋体" w:cs="Times New Roman"/>
                <w:kern w:val="0"/>
                <w:sz w:val="22"/>
                <w:szCs w:val="22"/>
                <w:lang w:val="en-US" w:eastAsia="zh-CN"/>
              </w:rPr>
            </w:pPr>
          </w:p>
        </w:tc>
        <w:tc>
          <w:tcPr>
            <w:tcW w:w="7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F9091C">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实验室人员资质</w:t>
            </w:r>
          </w:p>
        </w:tc>
        <w:tc>
          <w:tcPr>
            <w:tcW w:w="333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1BEF706">
            <w:pPr>
              <w:rPr>
                <w:rFonts w:hint="eastAsia" w:ascii="Times New Roman" w:hAnsi="Times New Roman" w:eastAsia="宋体" w:cs="Times New Roman"/>
                <w:kern w:val="0"/>
                <w:sz w:val="22"/>
                <w:szCs w:val="22"/>
              </w:rPr>
            </w:pPr>
            <w:r>
              <w:rPr>
                <w:rFonts w:hint="eastAsia" w:ascii="Times New Roman" w:hAnsi="Times New Roman" w:eastAsia="宋体" w:cs="Times New Roman"/>
                <w:kern w:val="0"/>
                <w:sz w:val="22"/>
                <w:szCs w:val="22"/>
              </w:rPr>
              <w:t>拟投入本项目的项目团队整体能力、人员相关项目工作经验、培训经历、执业、职称证书等情况进行综合评分（注：</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lang w:val="en-US" w:eastAsia="zh-CN"/>
              </w:rPr>
              <w:t>1</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提供人员职称证明材料；</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lang w:val="en-US" w:eastAsia="zh-CN"/>
              </w:rPr>
              <w:t>2</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提供人员的聘用证明及社保证明）。</w:t>
            </w:r>
          </w:p>
          <w:p w14:paraId="1D5E864A">
            <w:pP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（评分范围：4，3，2，1，0）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DBDDA9">
            <w:pPr>
              <w:jc w:val="center"/>
              <w:rPr>
                <w:rFonts w:hint="eastAsia"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4</w:t>
            </w:r>
          </w:p>
        </w:tc>
      </w:tr>
      <w:tr w14:paraId="62F6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96" w:type="pct"/>
            <w:noWrap w:val="0"/>
            <w:vAlign w:val="center"/>
          </w:tcPr>
          <w:p w14:paraId="35500DA4">
            <w:pPr>
              <w:numPr>
                <w:ilvl w:val="0"/>
                <w:numId w:val="16"/>
              </w:numPr>
              <w:jc w:val="center"/>
              <w:rPr>
                <w:rFonts w:hint="eastAsia" w:ascii="Times New Roman" w:hAnsi="Times New Roman" w:eastAsia="宋体" w:cs="Times New Roman"/>
                <w:kern w:val="0"/>
                <w:sz w:val="22"/>
                <w:szCs w:val="22"/>
                <w:lang w:val="en-US" w:eastAsia="zh-CN"/>
              </w:rPr>
            </w:pPr>
          </w:p>
        </w:tc>
        <w:tc>
          <w:tcPr>
            <w:tcW w:w="7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0A0685">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实验室质量控制</w:t>
            </w:r>
          </w:p>
        </w:tc>
        <w:tc>
          <w:tcPr>
            <w:tcW w:w="333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79A985A">
            <w:pPr>
              <w:rPr>
                <w:rFonts w:hint="eastAsia" w:ascii="Times New Roman" w:hAnsi="Times New Roman" w:eastAsia="宋体" w:cs="Times New Roman"/>
                <w:kern w:val="0"/>
                <w:sz w:val="22"/>
                <w:szCs w:val="22"/>
              </w:rPr>
            </w:pPr>
            <w:r>
              <w:rPr>
                <w:rFonts w:hint="eastAsia" w:ascii="Times New Roman" w:hAnsi="Times New Roman" w:eastAsia="宋体" w:cs="Times New Roman"/>
                <w:kern w:val="0"/>
                <w:sz w:val="22"/>
                <w:szCs w:val="22"/>
              </w:rPr>
              <w:t>对投标人提供的实验室质量控制体系：投标人提出项目实施的质量管理组织架构、质量监督体系和质量保证措施。评委根据投标人提交的《质量保证措施》进行综合评分。</w:t>
            </w:r>
          </w:p>
          <w:p w14:paraId="675CC230">
            <w:pP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（评分范围：4，3，2，1，0）</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3D8FC8">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lang w:val="en-US" w:eastAsia="zh-CN"/>
              </w:rPr>
              <w:t>4</w:t>
            </w:r>
          </w:p>
        </w:tc>
      </w:tr>
      <w:tr w14:paraId="59EF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center"/>
          </w:tcPr>
          <w:p w14:paraId="2F71A1CB">
            <w:pPr>
              <w:numPr>
                <w:ilvl w:val="0"/>
                <w:numId w:val="16"/>
              </w:numPr>
              <w:jc w:val="center"/>
              <w:rPr>
                <w:rFonts w:hint="eastAsia" w:ascii="Times New Roman" w:hAnsi="Times New Roman" w:eastAsia="宋体" w:cs="Times New Roman"/>
                <w:kern w:val="0"/>
                <w:sz w:val="22"/>
                <w:szCs w:val="22"/>
                <w:lang w:val="en-US" w:eastAsia="zh-CN"/>
              </w:rPr>
            </w:pPr>
          </w:p>
        </w:tc>
        <w:tc>
          <w:tcPr>
            <w:tcW w:w="7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73B3DF">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系统对接</w:t>
            </w:r>
          </w:p>
        </w:tc>
        <w:tc>
          <w:tcPr>
            <w:tcW w:w="333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013A3DD">
            <w:pP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 xml:space="preserve">提供信息化无缝对接，确保信息对接的准确性、溯源性和安全性方案（提供方案，且方案中有第三方测评信息安全证明得 </w:t>
            </w:r>
            <w:r>
              <w:rPr>
                <w:rFonts w:hint="eastAsia" w:ascii="Times New Roman" w:hAnsi="Times New Roman" w:eastAsia="宋体" w:cs="Times New Roman"/>
                <w:kern w:val="0"/>
                <w:sz w:val="22"/>
                <w:szCs w:val="22"/>
                <w:lang w:val="en-US" w:eastAsia="zh-CN"/>
              </w:rPr>
              <w:t>3</w:t>
            </w:r>
            <w:r>
              <w:rPr>
                <w:rFonts w:hint="eastAsia" w:ascii="Times New Roman" w:hAnsi="Times New Roman" w:eastAsia="宋体" w:cs="Times New Roman"/>
                <w:kern w:val="0"/>
                <w:sz w:val="22"/>
                <w:szCs w:val="22"/>
              </w:rPr>
              <w:t xml:space="preserve"> 分，无方案无安全证明不得分）</w:t>
            </w:r>
          </w:p>
        </w:tc>
        <w:tc>
          <w:tcPr>
            <w:tcW w:w="55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33DFBC">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lang w:val="en-US" w:eastAsia="zh-CN"/>
              </w:rPr>
              <w:t>3</w:t>
            </w:r>
          </w:p>
        </w:tc>
      </w:tr>
      <w:tr w14:paraId="20D9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center"/>
          </w:tcPr>
          <w:p w14:paraId="4B3D28BF">
            <w:pPr>
              <w:numPr>
                <w:ilvl w:val="0"/>
                <w:numId w:val="16"/>
              </w:numPr>
              <w:jc w:val="center"/>
              <w:rPr>
                <w:rFonts w:hint="eastAsia" w:ascii="Times New Roman" w:hAnsi="Times New Roman" w:eastAsia="宋体" w:cs="Times New Roman"/>
                <w:kern w:val="0"/>
                <w:sz w:val="22"/>
                <w:szCs w:val="22"/>
                <w:lang w:val="en-US" w:eastAsia="zh-CN"/>
              </w:rPr>
            </w:pPr>
          </w:p>
        </w:tc>
        <w:tc>
          <w:tcPr>
            <w:tcW w:w="713" w:type="pct"/>
            <w:shd w:val="clear" w:color="auto" w:fill="auto"/>
            <w:noWrap w:val="0"/>
            <w:vAlign w:val="center"/>
          </w:tcPr>
          <w:p w14:paraId="2AA46FBF">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物流方案</w:t>
            </w:r>
          </w:p>
        </w:tc>
        <w:tc>
          <w:tcPr>
            <w:tcW w:w="3331" w:type="pct"/>
            <w:shd w:val="clear" w:color="auto" w:fill="auto"/>
            <w:noWrap w:val="0"/>
            <w:vAlign w:val="top"/>
          </w:tcPr>
          <w:p w14:paraId="22D5736A">
            <w:pPr>
              <w:rPr>
                <w:rFonts w:hint="eastAsia" w:ascii="Times New Roman" w:hAnsi="Times New Roman" w:eastAsia="宋体" w:cs="Times New Roman"/>
                <w:kern w:val="0"/>
                <w:sz w:val="22"/>
                <w:szCs w:val="22"/>
              </w:rPr>
            </w:pPr>
            <w:r>
              <w:rPr>
                <w:rFonts w:hint="eastAsia" w:ascii="Times New Roman" w:hAnsi="Times New Roman" w:eastAsia="宋体" w:cs="Times New Roman"/>
                <w:kern w:val="0"/>
                <w:sz w:val="22"/>
                <w:szCs w:val="22"/>
              </w:rPr>
              <w:t>提供完整物流方案，根据方案的完善性及可行性进行评价。</w:t>
            </w:r>
          </w:p>
          <w:p w14:paraId="1638CE12">
            <w:pPr>
              <w:rPr>
                <w:rFonts w:hint="eastAsia" w:ascii="Times New Roman" w:hAnsi="Times New Roman" w:eastAsia="宋体" w:cs="Times New Roman"/>
                <w:kern w:val="0"/>
                <w:sz w:val="22"/>
                <w:szCs w:val="22"/>
              </w:rPr>
            </w:pP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lang w:val="en-US" w:eastAsia="zh-CN"/>
              </w:rPr>
              <w:t>1</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物流人员使用专用冷链箱过去接收（2 分）</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（评分范围：2，1，0）；</w:t>
            </w:r>
          </w:p>
          <w:p w14:paraId="08D1F8DE">
            <w:pPr>
              <w:rPr>
                <w:rFonts w:hint="eastAsia" w:ascii="Times New Roman" w:hAnsi="Times New Roman" w:eastAsia="宋体" w:cs="Times New Roman"/>
                <w:kern w:val="0"/>
                <w:sz w:val="22"/>
                <w:szCs w:val="22"/>
              </w:rPr>
            </w:pP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lang w:val="en-US" w:eastAsia="zh-CN"/>
              </w:rPr>
              <w:t>2</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冷链箱内有两套独立温度记录仪（2 分）</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（评分范围：2，1，0）；</w:t>
            </w:r>
          </w:p>
          <w:p w14:paraId="07E1F6F3">
            <w:pPr>
              <w:rPr>
                <w:rFonts w:hint="eastAsia" w:ascii="Times New Roman" w:hAnsi="Times New Roman" w:eastAsia="宋体" w:cs="Times New Roman"/>
                <w:kern w:val="0"/>
                <w:sz w:val="22"/>
                <w:szCs w:val="22"/>
              </w:rPr>
            </w:pP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lang w:val="en-US" w:eastAsia="zh-CN"/>
              </w:rPr>
              <w:t>3</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能实时监控温度（2 分）</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（评分范围：2，1，0）；</w:t>
            </w:r>
          </w:p>
          <w:p w14:paraId="45AD2638">
            <w:pP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lang w:val="en-US" w:eastAsia="zh-CN"/>
              </w:rPr>
              <w:t>4</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承诺物流人员接收标本后，第一时间放置冷链箱内，直接送至实验室，交接实验室前应填写冷链箱温度单进行保存（1分）</w:t>
            </w:r>
            <w:r>
              <w:rPr>
                <w:rFonts w:hint="eastAsia" w:ascii="Times New Roman" w:hAnsi="Times New Roman" w:eastAsia="宋体" w:cs="Times New Roman"/>
                <w:kern w:val="0"/>
                <w:sz w:val="22"/>
                <w:szCs w:val="22"/>
                <w:lang w:eastAsia="zh-CN"/>
              </w:rPr>
              <w:t>，</w:t>
            </w:r>
            <w:r>
              <w:rPr>
                <w:rFonts w:hint="eastAsia" w:ascii="Times New Roman" w:hAnsi="Times New Roman" w:eastAsia="宋体" w:cs="Times New Roman"/>
                <w:kern w:val="0"/>
                <w:sz w:val="22"/>
                <w:szCs w:val="22"/>
              </w:rPr>
              <w:t>（评分范围：</w:t>
            </w:r>
            <w:r>
              <w:rPr>
                <w:rFonts w:hint="eastAsia" w:ascii="Times New Roman" w:hAnsi="Times New Roman" w:eastAsia="宋体" w:cs="Times New Roman"/>
                <w:kern w:val="0"/>
                <w:sz w:val="22"/>
                <w:szCs w:val="22"/>
                <w:lang w:val="en-US" w:eastAsia="zh-CN"/>
              </w:rPr>
              <w:t>1</w:t>
            </w:r>
            <w:r>
              <w:rPr>
                <w:rFonts w:hint="eastAsia" w:ascii="Times New Roman" w:hAnsi="Times New Roman" w:eastAsia="宋体" w:cs="Times New Roman"/>
                <w:kern w:val="0"/>
                <w:sz w:val="22"/>
                <w:szCs w:val="22"/>
              </w:rPr>
              <w:t>，</w:t>
            </w:r>
            <w:r>
              <w:rPr>
                <w:rFonts w:hint="eastAsia" w:ascii="Times New Roman" w:hAnsi="Times New Roman" w:eastAsia="宋体" w:cs="Times New Roman"/>
                <w:kern w:val="0"/>
                <w:sz w:val="22"/>
                <w:szCs w:val="22"/>
                <w:lang w:val="en-US" w:eastAsia="zh-CN"/>
              </w:rPr>
              <w:t>0.5</w:t>
            </w:r>
            <w:r>
              <w:rPr>
                <w:rFonts w:hint="eastAsia" w:ascii="Times New Roman" w:hAnsi="Times New Roman" w:eastAsia="宋体" w:cs="Times New Roman"/>
                <w:kern w:val="0"/>
                <w:sz w:val="22"/>
                <w:szCs w:val="22"/>
              </w:rPr>
              <w:t>，0）。</w:t>
            </w:r>
          </w:p>
        </w:tc>
        <w:tc>
          <w:tcPr>
            <w:tcW w:w="559" w:type="pct"/>
            <w:shd w:val="clear" w:color="auto" w:fill="auto"/>
            <w:noWrap w:val="0"/>
            <w:vAlign w:val="center"/>
          </w:tcPr>
          <w:p w14:paraId="5C6B4D20">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lang w:val="en-US" w:eastAsia="zh-CN"/>
              </w:rPr>
              <w:t>7</w:t>
            </w:r>
          </w:p>
        </w:tc>
      </w:tr>
      <w:tr w14:paraId="0B4C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center"/>
          </w:tcPr>
          <w:p w14:paraId="344A647C">
            <w:pPr>
              <w:numPr>
                <w:ilvl w:val="0"/>
                <w:numId w:val="16"/>
              </w:numPr>
              <w:jc w:val="center"/>
              <w:rPr>
                <w:rFonts w:hint="default" w:ascii="Times New Roman" w:hAnsi="Times New Roman" w:eastAsia="宋体" w:cs="Times New Roman"/>
                <w:kern w:val="0"/>
                <w:sz w:val="22"/>
                <w:szCs w:val="22"/>
                <w:lang w:val="en-US" w:eastAsia="zh-CN"/>
              </w:rPr>
            </w:pPr>
          </w:p>
        </w:tc>
        <w:tc>
          <w:tcPr>
            <w:tcW w:w="713" w:type="pct"/>
            <w:shd w:val="clear" w:color="auto" w:fill="auto"/>
            <w:noWrap w:val="0"/>
            <w:vAlign w:val="center"/>
          </w:tcPr>
          <w:p w14:paraId="58CCF71A">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采样出具时间</w:t>
            </w:r>
          </w:p>
        </w:tc>
        <w:tc>
          <w:tcPr>
            <w:tcW w:w="3331" w:type="pct"/>
            <w:shd w:val="clear" w:color="auto" w:fill="auto"/>
            <w:noWrap w:val="0"/>
            <w:vAlign w:val="top"/>
          </w:tcPr>
          <w:p w14:paraId="2E59F83B">
            <w:pP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根据投标人对采样报告出具时间进行承诺，根据承诺时间的及时性、合理性，进行综合评分。（评分范围 3，2，1，0）</w:t>
            </w:r>
          </w:p>
        </w:tc>
        <w:tc>
          <w:tcPr>
            <w:tcW w:w="559" w:type="pct"/>
            <w:shd w:val="clear" w:color="auto" w:fill="auto"/>
            <w:noWrap w:val="0"/>
            <w:vAlign w:val="center"/>
          </w:tcPr>
          <w:p w14:paraId="0701E931">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3</w:t>
            </w:r>
          </w:p>
        </w:tc>
      </w:tr>
      <w:tr w14:paraId="1275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center"/>
          </w:tcPr>
          <w:p w14:paraId="1F048E42">
            <w:pPr>
              <w:numPr>
                <w:ilvl w:val="0"/>
                <w:numId w:val="16"/>
              </w:numPr>
              <w:jc w:val="center"/>
              <w:rPr>
                <w:rFonts w:hint="default" w:ascii="Times New Roman" w:hAnsi="Times New Roman" w:eastAsia="宋体" w:cs="Times New Roman"/>
                <w:kern w:val="0"/>
                <w:sz w:val="22"/>
                <w:szCs w:val="22"/>
                <w:lang w:val="en-US" w:eastAsia="zh-CN"/>
              </w:rPr>
            </w:pPr>
          </w:p>
        </w:tc>
        <w:tc>
          <w:tcPr>
            <w:tcW w:w="713" w:type="pct"/>
            <w:shd w:val="clear" w:color="auto" w:fill="auto"/>
            <w:noWrap w:val="0"/>
            <w:vAlign w:val="center"/>
          </w:tcPr>
          <w:p w14:paraId="63F1C4DA">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rPr>
              <w:t>业绩</w:t>
            </w:r>
          </w:p>
        </w:tc>
        <w:tc>
          <w:tcPr>
            <w:tcW w:w="3331" w:type="pct"/>
            <w:shd w:val="clear" w:color="auto" w:fill="auto"/>
            <w:noWrap w:val="0"/>
            <w:vAlign w:val="top"/>
          </w:tcPr>
          <w:p w14:paraId="27B4BDA2">
            <w:pPr>
              <w:rPr>
                <w:rFonts w:hint="eastAsia"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rPr>
              <w:t>投标人每提供一个同类项目业绩</w:t>
            </w:r>
            <w:r>
              <w:rPr>
                <w:rFonts w:hint="eastAsia" w:ascii="Times New Roman" w:hAnsi="Times New Roman" w:eastAsia="宋体" w:cs="Times New Roman"/>
                <w:kern w:val="0"/>
                <w:sz w:val="22"/>
                <w:szCs w:val="22"/>
                <w:lang w:eastAsia="zh-CN"/>
              </w:rPr>
              <w:t>（需包含</w:t>
            </w:r>
            <w:r>
              <w:rPr>
                <w:rFonts w:hint="eastAsia" w:ascii="Times New Roman" w:hAnsi="Times New Roman" w:eastAsia="宋体" w:cs="Times New Roman"/>
                <w:kern w:val="0"/>
                <w:sz w:val="22"/>
                <w:szCs w:val="22"/>
                <w:lang w:val="en-US" w:eastAsia="zh-CN"/>
              </w:rPr>
              <w:t>第二部分标项二中“</w:t>
            </w:r>
            <w:r>
              <w:rPr>
                <w:rFonts w:hint="eastAsia" w:ascii="Times New Roman" w:hAnsi="Times New Roman" w:eastAsia="宋体" w:cs="Times New Roman"/>
                <w:kern w:val="0"/>
                <w:sz w:val="22"/>
                <w:szCs w:val="22"/>
              </w:rPr>
              <w:t>委托外送检验项目常用清单</w:t>
            </w:r>
            <w:r>
              <w:rPr>
                <w:rFonts w:hint="eastAsia" w:ascii="Times New Roman" w:hAnsi="Times New Roman" w:eastAsia="宋体" w:cs="Times New Roman"/>
                <w:kern w:val="0"/>
                <w:sz w:val="22"/>
                <w:szCs w:val="22"/>
                <w:lang w:val="en-US" w:eastAsia="zh-CN"/>
              </w:rPr>
              <w:t>”</w:t>
            </w:r>
            <w:r>
              <w:rPr>
                <w:rFonts w:hint="eastAsia" w:ascii="Times New Roman" w:hAnsi="Times New Roman" w:eastAsia="宋体" w:cs="Times New Roman"/>
                <w:kern w:val="0"/>
                <w:sz w:val="22"/>
                <w:szCs w:val="22"/>
                <w:lang w:eastAsia="zh-CN"/>
              </w:rPr>
              <w:t>中的四个项目）</w:t>
            </w:r>
            <w:r>
              <w:rPr>
                <w:rFonts w:hint="eastAsia" w:ascii="Times New Roman" w:hAnsi="Times New Roman" w:eastAsia="宋体" w:cs="Times New Roman"/>
                <w:kern w:val="0"/>
                <w:sz w:val="22"/>
                <w:szCs w:val="22"/>
              </w:rPr>
              <w:t>合作合同复印件得 1 分，最多得</w:t>
            </w:r>
            <w:r>
              <w:rPr>
                <w:rFonts w:hint="eastAsia" w:ascii="Times New Roman" w:hAnsi="Times New Roman" w:eastAsia="宋体" w:cs="Times New Roman"/>
                <w:kern w:val="0"/>
                <w:sz w:val="22"/>
                <w:szCs w:val="22"/>
                <w:lang w:val="en-US" w:eastAsia="zh-CN"/>
              </w:rPr>
              <w:t>3</w:t>
            </w:r>
            <w:r>
              <w:rPr>
                <w:rFonts w:hint="eastAsia" w:ascii="Times New Roman" w:hAnsi="Times New Roman" w:eastAsia="宋体" w:cs="Times New Roman"/>
                <w:kern w:val="0"/>
                <w:sz w:val="22"/>
                <w:szCs w:val="22"/>
              </w:rPr>
              <w:t xml:space="preserve"> 分。</w:t>
            </w:r>
          </w:p>
        </w:tc>
        <w:tc>
          <w:tcPr>
            <w:tcW w:w="559" w:type="pct"/>
            <w:shd w:val="clear" w:color="auto" w:fill="auto"/>
            <w:noWrap w:val="0"/>
            <w:vAlign w:val="center"/>
          </w:tcPr>
          <w:p w14:paraId="07F508A9">
            <w:pPr>
              <w:jc w:val="center"/>
              <w:rPr>
                <w:rFonts w:hint="eastAsia" w:ascii="Times New Roman" w:hAnsi="Times New Roman" w:eastAsia="宋体" w:cs="Times New Roman"/>
                <w:kern w:val="0"/>
                <w:sz w:val="22"/>
                <w:szCs w:val="22"/>
                <w:lang w:val="en-US" w:eastAsia="en-US"/>
              </w:rPr>
            </w:pPr>
            <w:r>
              <w:rPr>
                <w:rFonts w:hint="eastAsia" w:ascii="Times New Roman" w:hAnsi="Times New Roman" w:eastAsia="宋体" w:cs="Times New Roman"/>
                <w:kern w:val="0"/>
                <w:sz w:val="22"/>
                <w:szCs w:val="22"/>
                <w:lang w:val="en-US" w:eastAsia="zh-CN"/>
              </w:rPr>
              <w:t>3</w:t>
            </w:r>
          </w:p>
        </w:tc>
      </w:tr>
    </w:tbl>
    <w:p w14:paraId="65ABA7FF">
      <w:pPr>
        <w:adjustRightInd w:val="0"/>
        <w:snapToGrid w:val="0"/>
        <w:spacing w:before="100" w:after="50" w:line="400" w:lineRule="atLeast"/>
        <w:jc w:val="both"/>
        <w:rPr>
          <w:rFonts w:hint="eastAsia" w:ascii="Times New Roman" w:eastAsia="宋体"/>
          <w:b/>
          <w:bCs/>
          <w:color w:val="auto"/>
          <w:sz w:val="22"/>
          <w:szCs w:val="22"/>
          <w:highlight w:val="none"/>
          <w:lang w:val="en-US" w:eastAsia="zh-CN"/>
        </w:rPr>
      </w:pPr>
    </w:p>
    <w:p w14:paraId="256617D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C7B371B">
      <w:pPr>
        <w:pStyle w:val="42"/>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所有分值计算保留小数点后二位，小数点后三位四舍五入。</w:t>
      </w:r>
    </w:p>
    <w:p w14:paraId="27622E94">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20"/>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20"/>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20"/>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2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2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21"/>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21"/>
      <w:tabs>
        <w:tab w:val="left" w:pos="3184"/>
        <w:tab w:val="center" w:pos="7604"/>
      </w:tabs>
      <w:jc w:val="left"/>
      <w:rPr>
        <w:rFonts w:hint="default" w:eastAsia="宋体"/>
        <w:u w:val="none"/>
        <w:lang w:val="en-US" w:eastAsia="zh-CN"/>
      </w:rPr>
    </w:pPr>
    <w:r>
      <w:rPr>
        <w:sz w:val="16"/>
        <w:szCs w:val="16"/>
        <w:u w:val="none"/>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pStyle w:val="21"/>
      <w:tabs>
        <w:tab w:val="left" w:pos="3184"/>
        <w:tab w:val="center" w:pos="7604"/>
      </w:tabs>
      <w:jc w:val="left"/>
      <w:rPr>
        <w:u w:val="single"/>
      </w:rPr>
    </w:pPr>
    <w:r>
      <w:rPr>
        <w:sz w:val="16"/>
        <w:szCs w:val="16"/>
        <w:u w:val="none"/>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r>
      <w:rPr>
        <w:rFonts w:hint="eastAsia"/>
        <w:sz w:val="18"/>
        <w:szCs w:val="18"/>
        <w:u w:val="none"/>
      </w:rPr>
      <w:t xml:space="preserve">                                                                     </w:t>
    </w:r>
    <w:r>
      <w:rPr>
        <w:rFonts w:hint="eastAsia"/>
        <w:sz w:val="18"/>
        <w:szCs w:val="18"/>
        <w:u w:val="single"/>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21"/>
      <w:tabs>
        <w:tab w:val="left" w:pos="3184"/>
        <w:tab w:val="center" w:pos="7604"/>
      </w:tabs>
      <w:jc w:val="left"/>
    </w:pPr>
    <w:r>
      <w:rPr>
        <w:sz w:val="16"/>
        <w:szCs w:val="16"/>
        <w:u w:val="none"/>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E405">
    <w:pPr>
      <w:pStyle w:val="21"/>
      <w:jc w:val="left"/>
    </w:pPr>
    <w:r>
      <w:rPr>
        <w:sz w:val="16"/>
        <w:szCs w:val="16"/>
        <w:u w:val="none"/>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21"/>
      <w:jc w:val="left"/>
    </w:pPr>
    <w:r>
      <w:rPr>
        <w:sz w:val="16"/>
        <w:szCs w:val="16"/>
        <w:u w:val="none"/>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BA19F"/>
    <w:multiLevelType w:val="singleLevel"/>
    <w:tmpl w:val="BB4BA19F"/>
    <w:lvl w:ilvl="0" w:tentative="0">
      <w:start w:val="1"/>
      <w:numFmt w:val="decimal"/>
      <w:lvlText w:val="%1."/>
      <w:lvlJc w:val="left"/>
      <w:pPr>
        <w:ind w:left="425" w:hanging="425"/>
      </w:pPr>
      <w:rPr>
        <w:rFonts w:hint="default"/>
      </w:rPr>
    </w:lvl>
  </w:abstractNum>
  <w:abstractNum w:abstractNumId="1">
    <w:nsid w:val="BC37FC6B"/>
    <w:multiLevelType w:val="singleLevel"/>
    <w:tmpl w:val="BC37FC6B"/>
    <w:lvl w:ilvl="0" w:tentative="0">
      <w:start w:val="1"/>
      <w:numFmt w:val="decimal"/>
      <w:suff w:val="nothing"/>
      <w:lvlText w:val="（%1）"/>
      <w:lvlJc w:val="left"/>
    </w:lvl>
  </w:abstractNum>
  <w:abstractNum w:abstractNumId="2">
    <w:nsid w:val="DDC374CF"/>
    <w:multiLevelType w:val="singleLevel"/>
    <w:tmpl w:val="DDC374CF"/>
    <w:lvl w:ilvl="0" w:tentative="0">
      <w:start w:val="1"/>
      <w:numFmt w:val="decimal"/>
      <w:lvlText w:val="%1."/>
      <w:lvlJc w:val="left"/>
      <w:pPr>
        <w:ind w:left="425" w:hanging="425"/>
      </w:pPr>
      <w:rPr>
        <w:rFonts w:hint="default"/>
      </w:rPr>
    </w:lvl>
  </w:abstractNum>
  <w:abstractNum w:abstractNumId="3">
    <w:nsid w:val="FD323AA9"/>
    <w:multiLevelType w:val="singleLevel"/>
    <w:tmpl w:val="FD323AA9"/>
    <w:lvl w:ilvl="0" w:tentative="0">
      <w:start w:val="1"/>
      <w:numFmt w:val="decimal"/>
      <w:suff w:val="nothing"/>
      <w:lvlText w:val="%1、"/>
      <w:lvlJc w:val="left"/>
    </w:lvl>
  </w:abstractNum>
  <w:abstractNum w:abstractNumId="4">
    <w:nsid w:val="FE688671"/>
    <w:multiLevelType w:val="singleLevel"/>
    <w:tmpl w:val="FE688671"/>
    <w:lvl w:ilvl="0" w:tentative="0">
      <w:start w:val="1"/>
      <w:numFmt w:val="decimal"/>
      <w:lvlText w:val="%1."/>
      <w:lvlJc w:val="left"/>
      <w:pPr>
        <w:ind w:left="425" w:hanging="425"/>
      </w:pPr>
      <w:rPr>
        <w:rFonts w:hint="default"/>
      </w:rPr>
    </w:lvl>
  </w:abstractNum>
  <w:abstractNum w:abstractNumId="5">
    <w:nsid w:val="00000002"/>
    <w:multiLevelType w:val="singleLevel"/>
    <w:tmpl w:val="00000002"/>
    <w:lvl w:ilvl="0" w:tentative="0">
      <w:start w:val="1"/>
      <w:numFmt w:val="decimal"/>
      <w:suff w:val="space"/>
      <w:lvlText w:val="%1."/>
      <w:lvlJc w:val="left"/>
    </w:lvl>
  </w:abstractNum>
  <w:abstractNum w:abstractNumId="6">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7">
    <w:nsid w:val="1BC96F79"/>
    <w:multiLevelType w:val="singleLevel"/>
    <w:tmpl w:val="1BC96F79"/>
    <w:lvl w:ilvl="0" w:tentative="0">
      <w:start w:val="1"/>
      <w:numFmt w:val="chineseCounting"/>
      <w:suff w:val="nothing"/>
      <w:lvlText w:val="%1、"/>
      <w:lvlJc w:val="left"/>
      <w:rPr>
        <w:rFonts w:hint="eastAsia"/>
      </w:rPr>
    </w:lvl>
  </w:abstractNum>
  <w:abstractNum w:abstractNumId="8">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9">
    <w:nsid w:val="3B363D98"/>
    <w:multiLevelType w:val="multilevel"/>
    <w:tmpl w:val="3B363D98"/>
    <w:lvl w:ilvl="0" w:tentative="0">
      <w:start w:val="1"/>
      <w:numFmt w:val="decimal"/>
      <w:pStyle w:val="8"/>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0">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1">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2">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3">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4">
    <w:nsid w:val="61BD0F6F"/>
    <w:multiLevelType w:val="singleLevel"/>
    <w:tmpl w:val="61BD0F6F"/>
    <w:lvl w:ilvl="0" w:tentative="0">
      <w:start w:val="1"/>
      <w:numFmt w:val="decimal"/>
      <w:suff w:val="nothing"/>
      <w:lvlText w:val="（%1）"/>
      <w:lvlJc w:val="left"/>
    </w:lvl>
  </w:abstractNum>
  <w:abstractNum w:abstractNumId="15">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0"/>
  </w:num>
  <w:num w:numId="2">
    <w:abstractNumId w:val="9"/>
  </w:num>
  <w:num w:numId="3">
    <w:abstractNumId w:val="11"/>
  </w:num>
  <w:num w:numId="4">
    <w:abstractNumId w:val="15"/>
  </w:num>
  <w:num w:numId="5">
    <w:abstractNumId w:val="12"/>
  </w:num>
  <w:num w:numId="6">
    <w:abstractNumId w:val="8"/>
  </w:num>
  <w:num w:numId="7">
    <w:abstractNumId w:val="7"/>
  </w:num>
  <w:num w:numId="8">
    <w:abstractNumId w:val="6"/>
  </w:num>
  <w:num w:numId="9">
    <w:abstractNumId w:val="13"/>
  </w:num>
  <w:num w:numId="10">
    <w:abstractNumId w:val="2"/>
  </w:num>
  <w:num w:numId="11">
    <w:abstractNumId w:val="14"/>
  </w:num>
  <w:num w:numId="12">
    <w:abstractNumId w:val="5"/>
  </w:num>
  <w:num w:numId="13">
    <w:abstractNumId w:val="3"/>
  </w:num>
  <w:num w:numId="14">
    <w:abstractNumId w:val="1"/>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hideSpellingErrors/>
  <w:documentProtection w:edit="trackedChanges" w:formatting="1" w:enforcement="0"/>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4E12"/>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A0BD1"/>
    <w:rsid w:val="00FD2E3E"/>
    <w:rsid w:val="00FE0B5C"/>
    <w:rsid w:val="01041902"/>
    <w:rsid w:val="011B0745"/>
    <w:rsid w:val="011C1120"/>
    <w:rsid w:val="01202218"/>
    <w:rsid w:val="013D123D"/>
    <w:rsid w:val="0155601B"/>
    <w:rsid w:val="018D6632"/>
    <w:rsid w:val="01971D57"/>
    <w:rsid w:val="01A9781D"/>
    <w:rsid w:val="01B864DA"/>
    <w:rsid w:val="01B95F5B"/>
    <w:rsid w:val="01C93ABD"/>
    <w:rsid w:val="01CE24C1"/>
    <w:rsid w:val="01D23F28"/>
    <w:rsid w:val="01F053E6"/>
    <w:rsid w:val="020E5F18"/>
    <w:rsid w:val="020E7C68"/>
    <w:rsid w:val="023805A5"/>
    <w:rsid w:val="02622915"/>
    <w:rsid w:val="027748AE"/>
    <w:rsid w:val="029522D0"/>
    <w:rsid w:val="02980A29"/>
    <w:rsid w:val="02A76009"/>
    <w:rsid w:val="02BE2F4D"/>
    <w:rsid w:val="02BF74D3"/>
    <w:rsid w:val="02E12496"/>
    <w:rsid w:val="03261A03"/>
    <w:rsid w:val="0332763A"/>
    <w:rsid w:val="033B1910"/>
    <w:rsid w:val="0342341C"/>
    <w:rsid w:val="036115F1"/>
    <w:rsid w:val="036363D4"/>
    <w:rsid w:val="03677E46"/>
    <w:rsid w:val="039C6B52"/>
    <w:rsid w:val="03A61318"/>
    <w:rsid w:val="03A74512"/>
    <w:rsid w:val="03AE5C64"/>
    <w:rsid w:val="03FE1390"/>
    <w:rsid w:val="040B5DC6"/>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5E2E1F"/>
    <w:rsid w:val="066D2196"/>
    <w:rsid w:val="067B57E2"/>
    <w:rsid w:val="0680783F"/>
    <w:rsid w:val="06B8631D"/>
    <w:rsid w:val="06BB1582"/>
    <w:rsid w:val="06CE6494"/>
    <w:rsid w:val="06D575E9"/>
    <w:rsid w:val="07374B5F"/>
    <w:rsid w:val="074F739B"/>
    <w:rsid w:val="07604846"/>
    <w:rsid w:val="07690581"/>
    <w:rsid w:val="0777785B"/>
    <w:rsid w:val="078010E5"/>
    <w:rsid w:val="07827641"/>
    <w:rsid w:val="078661B3"/>
    <w:rsid w:val="078709DA"/>
    <w:rsid w:val="078A0456"/>
    <w:rsid w:val="07A84DCB"/>
    <w:rsid w:val="07B76E93"/>
    <w:rsid w:val="07BB2B24"/>
    <w:rsid w:val="07C4402A"/>
    <w:rsid w:val="07D72A2D"/>
    <w:rsid w:val="07E37EC6"/>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7038C9"/>
    <w:rsid w:val="09840974"/>
    <w:rsid w:val="098660B8"/>
    <w:rsid w:val="09887D1F"/>
    <w:rsid w:val="09A55AFC"/>
    <w:rsid w:val="09C72936"/>
    <w:rsid w:val="0A012C11"/>
    <w:rsid w:val="0A025B20"/>
    <w:rsid w:val="0A392BB3"/>
    <w:rsid w:val="0A3B205C"/>
    <w:rsid w:val="0A422A41"/>
    <w:rsid w:val="0A5529A3"/>
    <w:rsid w:val="0A6D54C1"/>
    <w:rsid w:val="0A832BB1"/>
    <w:rsid w:val="0A9D6E39"/>
    <w:rsid w:val="0AA00C47"/>
    <w:rsid w:val="0AA14449"/>
    <w:rsid w:val="0AB14F8A"/>
    <w:rsid w:val="0AD64336"/>
    <w:rsid w:val="0AFB0953"/>
    <w:rsid w:val="0B4D32FF"/>
    <w:rsid w:val="0B954E47"/>
    <w:rsid w:val="0BA81885"/>
    <w:rsid w:val="0BC65B7E"/>
    <w:rsid w:val="0BDC6D23"/>
    <w:rsid w:val="0BEF26D8"/>
    <w:rsid w:val="0C0E290E"/>
    <w:rsid w:val="0C174A1A"/>
    <w:rsid w:val="0C207896"/>
    <w:rsid w:val="0C3A346F"/>
    <w:rsid w:val="0C3A444D"/>
    <w:rsid w:val="0C3C698A"/>
    <w:rsid w:val="0C54227B"/>
    <w:rsid w:val="0C5A58C7"/>
    <w:rsid w:val="0C7F5C11"/>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985C4A"/>
    <w:rsid w:val="0EAC0516"/>
    <w:rsid w:val="0EC0292C"/>
    <w:rsid w:val="0ECB620F"/>
    <w:rsid w:val="0F2743A8"/>
    <w:rsid w:val="0F5D75AE"/>
    <w:rsid w:val="0F72397C"/>
    <w:rsid w:val="0F73060B"/>
    <w:rsid w:val="0F730C2E"/>
    <w:rsid w:val="0F826401"/>
    <w:rsid w:val="0F87169C"/>
    <w:rsid w:val="0F8D5A6E"/>
    <w:rsid w:val="0F9839E3"/>
    <w:rsid w:val="0FC31AEF"/>
    <w:rsid w:val="0FD25F20"/>
    <w:rsid w:val="0FD7253D"/>
    <w:rsid w:val="0FDC0699"/>
    <w:rsid w:val="0FF665BB"/>
    <w:rsid w:val="10171913"/>
    <w:rsid w:val="10200C1D"/>
    <w:rsid w:val="102313C5"/>
    <w:rsid w:val="102556E4"/>
    <w:rsid w:val="102C358B"/>
    <w:rsid w:val="1033623D"/>
    <w:rsid w:val="1041039B"/>
    <w:rsid w:val="104B2691"/>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9C47CF"/>
    <w:rsid w:val="15A863DA"/>
    <w:rsid w:val="15AC771C"/>
    <w:rsid w:val="15C74387"/>
    <w:rsid w:val="15ED08DC"/>
    <w:rsid w:val="16154D2B"/>
    <w:rsid w:val="162163A6"/>
    <w:rsid w:val="163032CF"/>
    <w:rsid w:val="16355697"/>
    <w:rsid w:val="16497104"/>
    <w:rsid w:val="166455C0"/>
    <w:rsid w:val="16645BE5"/>
    <w:rsid w:val="16761AB0"/>
    <w:rsid w:val="16822E67"/>
    <w:rsid w:val="168615A5"/>
    <w:rsid w:val="16891CBC"/>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07A55"/>
    <w:rsid w:val="18BB1030"/>
    <w:rsid w:val="18CD01D8"/>
    <w:rsid w:val="18DB5C7B"/>
    <w:rsid w:val="18E52698"/>
    <w:rsid w:val="18ED0099"/>
    <w:rsid w:val="18F43788"/>
    <w:rsid w:val="18FC1E65"/>
    <w:rsid w:val="1901260B"/>
    <w:rsid w:val="19087540"/>
    <w:rsid w:val="19112309"/>
    <w:rsid w:val="191A4A86"/>
    <w:rsid w:val="1950523A"/>
    <w:rsid w:val="197A7A31"/>
    <w:rsid w:val="19855173"/>
    <w:rsid w:val="198D0535"/>
    <w:rsid w:val="19B35656"/>
    <w:rsid w:val="19BA432E"/>
    <w:rsid w:val="1A0A41A6"/>
    <w:rsid w:val="1A241C9C"/>
    <w:rsid w:val="1A281C09"/>
    <w:rsid w:val="1A2A3937"/>
    <w:rsid w:val="1A2B408A"/>
    <w:rsid w:val="1A404D26"/>
    <w:rsid w:val="1A50685A"/>
    <w:rsid w:val="1A594660"/>
    <w:rsid w:val="1A7F7D1C"/>
    <w:rsid w:val="1AC814CF"/>
    <w:rsid w:val="1AFA71C6"/>
    <w:rsid w:val="1B1B1F31"/>
    <w:rsid w:val="1B1B2C88"/>
    <w:rsid w:val="1B1D3307"/>
    <w:rsid w:val="1B2F27B1"/>
    <w:rsid w:val="1B386640"/>
    <w:rsid w:val="1B4D72F6"/>
    <w:rsid w:val="1B707384"/>
    <w:rsid w:val="1B9D0F80"/>
    <w:rsid w:val="1BAA77AF"/>
    <w:rsid w:val="1BD74422"/>
    <w:rsid w:val="1BEB27DD"/>
    <w:rsid w:val="1C0A0365"/>
    <w:rsid w:val="1C394437"/>
    <w:rsid w:val="1C48457C"/>
    <w:rsid w:val="1C622EC7"/>
    <w:rsid w:val="1CBE4C89"/>
    <w:rsid w:val="1CFF3808"/>
    <w:rsid w:val="1D061E52"/>
    <w:rsid w:val="1D0C4210"/>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8E07F1"/>
    <w:rsid w:val="1EC10726"/>
    <w:rsid w:val="1EE55B3B"/>
    <w:rsid w:val="1EE91FF7"/>
    <w:rsid w:val="1F191804"/>
    <w:rsid w:val="1F2062E7"/>
    <w:rsid w:val="1F2E3D18"/>
    <w:rsid w:val="1F434056"/>
    <w:rsid w:val="1F63358C"/>
    <w:rsid w:val="1F6618DC"/>
    <w:rsid w:val="1F703620"/>
    <w:rsid w:val="1F8563B1"/>
    <w:rsid w:val="1F882FF2"/>
    <w:rsid w:val="1F9E5DD8"/>
    <w:rsid w:val="1FF00B97"/>
    <w:rsid w:val="1FF411BE"/>
    <w:rsid w:val="20086627"/>
    <w:rsid w:val="204D41D5"/>
    <w:rsid w:val="205B1AB2"/>
    <w:rsid w:val="205B3006"/>
    <w:rsid w:val="207015FB"/>
    <w:rsid w:val="207D797D"/>
    <w:rsid w:val="20961C9B"/>
    <w:rsid w:val="20AE0F75"/>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244CD7"/>
    <w:rsid w:val="222A288C"/>
    <w:rsid w:val="222B6D0B"/>
    <w:rsid w:val="22364F87"/>
    <w:rsid w:val="22603DB2"/>
    <w:rsid w:val="22684480"/>
    <w:rsid w:val="22795131"/>
    <w:rsid w:val="228A6A90"/>
    <w:rsid w:val="22910410"/>
    <w:rsid w:val="22C62CE9"/>
    <w:rsid w:val="22D53917"/>
    <w:rsid w:val="22E41AB5"/>
    <w:rsid w:val="22EC7BD5"/>
    <w:rsid w:val="22F70196"/>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C0155"/>
    <w:rsid w:val="256F1EA2"/>
    <w:rsid w:val="2575159A"/>
    <w:rsid w:val="25755DC7"/>
    <w:rsid w:val="25A24CD7"/>
    <w:rsid w:val="25A3323B"/>
    <w:rsid w:val="25B763DF"/>
    <w:rsid w:val="25CF60E7"/>
    <w:rsid w:val="264F77C7"/>
    <w:rsid w:val="26660DE0"/>
    <w:rsid w:val="266917B0"/>
    <w:rsid w:val="26723129"/>
    <w:rsid w:val="26CD2065"/>
    <w:rsid w:val="26CE1AE4"/>
    <w:rsid w:val="26E2748C"/>
    <w:rsid w:val="26EA59AA"/>
    <w:rsid w:val="27420E35"/>
    <w:rsid w:val="27575E29"/>
    <w:rsid w:val="27761C90"/>
    <w:rsid w:val="27901611"/>
    <w:rsid w:val="27CF4621"/>
    <w:rsid w:val="27E0008C"/>
    <w:rsid w:val="2839380D"/>
    <w:rsid w:val="286165A0"/>
    <w:rsid w:val="28701DB4"/>
    <w:rsid w:val="28832A7D"/>
    <w:rsid w:val="288860A8"/>
    <w:rsid w:val="28C527DF"/>
    <w:rsid w:val="28CC03F4"/>
    <w:rsid w:val="28D818EA"/>
    <w:rsid w:val="28E77A9D"/>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AE24A7"/>
    <w:rsid w:val="2AD9064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FC4F70"/>
    <w:rsid w:val="2E076463"/>
    <w:rsid w:val="2E1D5035"/>
    <w:rsid w:val="2E362D1A"/>
    <w:rsid w:val="2E5B1F74"/>
    <w:rsid w:val="2E7B637C"/>
    <w:rsid w:val="2E884DBD"/>
    <w:rsid w:val="2EBC3309"/>
    <w:rsid w:val="2EBC69F6"/>
    <w:rsid w:val="2ED02C60"/>
    <w:rsid w:val="2EDE564A"/>
    <w:rsid w:val="2EE43201"/>
    <w:rsid w:val="2EF75802"/>
    <w:rsid w:val="2EFB6817"/>
    <w:rsid w:val="2F0C1F76"/>
    <w:rsid w:val="2F184BEA"/>
    <w:rsid w:val="2F2627EF"/>
    <w:rsid w:val="2F484809"/>
    <w:rsid w:val="2F4C5DCE"/>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783010"/>
    <w:rsid w:val="308F0036"/>
    <w:rsid w:val="30995CE4"/>
    <w:rsid w:val="309B15FE"/>
    <w:rsid w:val="30A24D4F"/>
    <w:rsid w:val="30A34DBC"/>
    <w:rsid w:val="30C916BD"/>
    <w:rsid w:val="30D068DC"/>
    <w:rsid w:val="30DC546C"/>
    <w:rsid w:val="30EB6230"/>
    <w:rsid w:val="30F910AF"/>
    <w:rsid w:val="30F9494E"/>
    <w:rsid w:val="30FD3114"/>
    <w:rsid w:val="31051209"/>
    <w:rsid w:val="31133E72"/>
    <w:rsid w:val="313079E4"/>
    <w:rsid w:val="313C56AD"/>
    <w:rsid w:val="313F0B5A"/>
    <w:rsid w:val="315D5094"/>
    <w:rsid w:val="31606342"/>
    <w:rsid w:val="317242F4"/>
    <w:rsid w:val="31BC3435"/>
    <w:rsid w:val="31BF29D4"/>
    <w:rsid w:val="31C53C32"/>
    <w:rsid w:val="31CD297B"/>
    <w:rsid w:val="31E3377A"/>
    <w:rsid w:val="32750924"/>
    <w:rsid w:val="327A73D7"/>
    <w:rsid w:val="32C87BF1"/>
    <w:rsid w:val="32DF5353"/>
    <w:rsid w:val="32E24F91"/>
    <w:rsid w:val="32FE6A78"/>
    <w:rsid w:val="3319615A"/>
    <w:rsid w:val="331D7A9E"/>
    <w:rsid w:val="333239ED"/>
    <w:rsid w:val="334A63FA"/>
    <w:rsid w:val="33596D28"/>
    <w:rsid w:val="33811D7E"/>
    <w:rsid w:val="33AD497E"/>
    <w:rsid w:val="33E20F59"/>
    <w:rsid w:val="34027AE1"/>
    <w:rsid w:val="34094CBA"/>
    <w:rsid w:val="340B05AD"/>
    <w:rsid w:val="340E7D3E"/>
    <w:rsid w:val="34513BC3"/>
    <w:rsid w:val="3456389F"/>
    <w:rsid w:val="345C6C0C"/>
    <w:rsid w:val="3481702B"/>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F4451A"/>
    <w:rsid w:val="36194DAD"/>
    <w:rsid w:val="36220996"/>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BF7375"/>
    <w:rsid w:val="37D87406"/>
    <w:rsid w:val="37EA330D"/>
    <w:rsid w:val="38041602"/>
    <w:rsid w:val="38335686"/>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824A94"/>
    <w:rsid w:val="3ACA4C76"/>
    <w:rsid w:val="3AE315CD"/>
    <w:rsid w:val="3AE7034D"/>
    <w:rsid w:val="3AEF5D9E"/>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29776B"/>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5E50A2"/>
    <w:rsid w:val="3E79033B"/>
    <w:rsid w:val="3E7F6C11"/>
    <w:rsid w:val="3E857089"/>
    <w:rsid w:val="3E941390"/>
    <w:rsid w:val="3E977078"/>
    <w:rsid w:val="3EA93578"/>
    <w:rsid w:val="3EB14F9C"/>
    <w:rsid w:val="3EC414A4"/>
    <w:rsid w:val="3ED30884"/>
    <w:rsid w:val="3EE57420"/>
    <w:rsid w:val="3EF97B67"/>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5D297C"/>
    <w:rsid w:val="43733CAB"/>
    <w:rsid w:val="43787BA4"/>
    <w:rsid w:val="43827BD5"/>
    <w:rsid w:val="43DA063C"/>
    <w:rsid w:val="43DB3117"/>
    <w:rsid w:val="43DC058F"/>
    <w:rsid w:val="43FE4122"/>
    <w:rsid w:val="4400089C"/>
    <w:rsid w:val="44096126"/>
    <w:rsid w:val="44180DD6"/>
    <w:rsid w:val="441F5129"/>
    <w:rsid w:val="444663A5"/>
    <w:rsid w:val="444D43E8"/>
    <w:rsid w:val="444E4825"/>
    <w:rsid w:val="446761B6"/>
    <w:rsid w:val="447269CD"/>
    <w:rsid w:val="447649E2"/>
    <w:rsid w:val="447A41FD"/>
    <w:rsid w:val="44826BC6"/>
    <w:rsid w:val="44BC12AA"/>
    <w:rsid w:val="44D81C97"/>
    <w:rsid w:val="44E65F41"/>
    <w:rsid w:val="45031F24"/>
    <w:rsid w:val="45084CD7"/>
    <w:rsid w:val="452559C9"/>
    <w:rsid w:val="454308A2"/>
    <w:rsid w:val="454F300E"/>
    <w:rsid w:val="4583114E"/>
    <w:rsid w:val="45A362B9"/>
    <w:rsid w:val="45B61363"/>
    <w:rsid w:val="45BF5D6D"/>
    <w:rsid w:val="45D31059"/>
    <w:rsid w:val="46032B23"/>
    <w:rsid w:val="460A1655"/>
    <w:rsid w:val="460A66C2"/>
    <w:rsid w:val="46190817"/>
    <w:rsid w:val="46252A2C"/>
    <w:rsid w:val="46534277"/>
    <w:rsid w:val="465B47BA"/>
    <w:rsid w:val="465E2559"/>
    <w:rsid w:val="4663642B"/>
    <w:rsid w:val="466673F0"/>
    <w:rsid w:val="4676352A"/>
    <w:rsid w:val="469043B7"/>
    <w:rsid w:val="46947406"/>
    <w:rsid w:val="46D41CA9"/>
    <w:rsid w:val="46DA72CF"/>
    <w:rsid w:val="46EC0A1D"/>
    <w:rsid w:val="46EF7627"/>
    <w:rsid w:val="472C61FD"/>
    <w:rsid w:val="47370F60"/>
    <w:rsid w:val="47412EF8"/>
    <w:rsid w:val="47733B6B"/>
    <w:rsid w:val="47A0687C"/>
    <w:rsid w:val="47AE4AED"/>
    <w:rsid w:val="47B857BC"/>
    <w:rsid w:val="47BE1EB7"/>
    <w:rsid w:val="47CD1DAD"/>
    <w:rsid w:val="47EE7AE6"/>
    <w:rsid w:val="47F8672D"/>
    <w:rsid w:val="481564EA"/>
    <w:rsid w:val="48440311"/>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A11A27"/>
    <w:rsid w:val="4BAA3A61"/>
    <w:rsid w:val="4BAB303C"/>
    <w:rsid w:val="4BBF197A"/>
    <w:rsid w:val="4BE96819"/>
    <w:rsid w:val="4C0373D9"/>
    <w:rsid w:val="4C0719F3"/>
    <w:rsid w:val="4C362899"/>
    <w:rsid w:val="4C3D2942"/>
    <w:rsid w:val="4C460A53"/>
    <w:rsid w:val="4C5E0AA5"/>
    <w:rsid w:val="4C7067A3"/>
    <w:rsid w:val="4C7B4B11"/>
    <w:rsid w:val="4C9C3C4B"/>
    <w:rsid w:val="4CC22EF7"/>
    <w:rsid w:val="4D027EC4"/>
    <w:rsid w:val="4D8D6F09"/>
    <w:rsid w:val="4DAA3896"/>
    <w:rsid w:val="4DD454D1"/>
    <w:rsid w:val="4DF207D3"/>
    <w:rsid w:val="4E03074F"/>
    <w:rsid w:val="4E1B6084"/>
    <w:rsid w:val="4E50548A"/>
    <w:rsid w:val="4E6D514B"/>
    <w:rsid w:val="4E8A589D"/>
    <w:rsid w:val="4EBE10DD"/>
    <w:rsid w:val="4EDA329F"/>
    <w:rsid w:val="4EDB1436"/>
    <w:rsid w:val="4EFE0F5F"/>
    <w:rsid w:val="4EFE327C"/>
    <w:rsid w:val="4F0802CD"/>
    <w:rsid w:val="4F31534C"/>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51243"/>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8C5D92"/>
    <w:rsid w:val="51984A67"/>
    <w:rsid w:val="51AC1E46"/>
    <w:rsid w:val="51AC1F6E"/>
    <w:rsid w:val="51D26506"/>
    <w:rsid w:val="52092769"/>
    <w:rsid w:val="521A35C2"/>
    <w:rsid w:val="521F52CC"/>
    <w:rsid w:val="522B75E8"/>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3FC314B"/>
    <w:rsid w:val="540F6101"/>
    <w:rsid w:val="543E20B6"/>
    <w:rsid w:val="54417DDC"/>
    <w:rsid w:val="5455279C"/>
    <w:rsid w:val="54710FB3"/>
    <w:rsid w:val="54721B28"/>
    <w:rsid w:val="54783F6A"/>
    <w:rsid w:val="54A23B9E"/>
    <w:rsid w:val="54B2372C"/>
    <w:rsid w:val="54B33073"/>
    <w:rsid w:val="54E7277A"/>
    <w:rsid w:val="54E757D0"/>
    <w:rsid w:val="550D5CB7"/>
    <w:rsid w:val="55232CA8"/>
    <w:rsid w:val="553C2B91"/>
    <w:rsid w:val="554A12A4"/>
    <w:rsid w:val="554B0299"/>
    <w:rsid w:val="555B6C9F"/>
    <w:rsid w:val="558F6181"/>
    <w:rsid w:val="559678D8"/>
    <w:rsid w:val="55AF140A"/>
    <w:rsid w:val="55B634CD"/>
    <w:rsid w:val="55BA3319"/>
    <w:rsid w:val="55C62C16"/>
    <w:rsid w:val="55E40B0D"/>
    <w:rsid w:val="56104841"/>
    <w:rsid w:val="568C728E"/>
    <w:rsid w:val="56950095"/>
    <w:rsid w:val="56AE3022"/>
    <w:rsid w:val="56BE14C6"/>
    <w:rsid w:val="56CF5288"/>
    <w:rsid w:val="56E973CF"/>
    <w:rsid w:val="56F37C7C"/>
    <w:rsid w:val="56FE71BD"/>
    <w:rsid w:val="57181CA7"/>
    <w:rsid w:val="572710C5"/>
    <w:rsid w:val="572A11A6"/>
    <w:rsid w:val="572C2443"/>
    <w:rsid w:val="57502739"/>
    <w:rsid w:val="5754014C"/>
    <w:rsid w:val="576E3FE8"/>
    <w:rsid w:val="57761929"/>
    <w:rsid w:val="5777410C"/>
    <w:rsid w:val="577B6387"/>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E10713"/>
    <w:rsid w:val="58E347C8"/>
    <w:rsid w:val="58E90226"/>
    <w:rsid w:val="59155E53"/>
    <w:rsid w:val="59157062"/>
    <w:rsid w:val="59231B0B"/>
    <w:rsid w:val="59246BE1"/>
    <w:rsid w:val="5938062E"/>
    <w:rsid w:val="5939268C"/>
    <w:rsid w:val="594E609C"/>
    <w:rsid w:val="59564B9D"/>
    <w:rsid w:val="595C0995"/>
    <w:rsid w:val="59727804"/>
    <w:rsid w:val="599A23C2"/>
    <w:rsid w:val="59B2285A"/>
    <w:rsid w:val="59B651F7"/>
    <w:rsid w:val="59C25874"/>
    <w:rsid w:val="59C279BF"/>
    <w:rsid w:val="59DB4687"/>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BDC7C3A"/>
    <w:rsid w:val="5BF74742"/>
    <w:rsid w:val="5C2C297C"/>
    <w:rsid w:val="5C7B18B8"/>
    <w:rsid w:val="5C801EB9"/>
    <w:rsid w:val="5C8B3982"/>
    <w:rsid w:val="5CA769FA"/>
    <w:rsid w:val="5CC71557"/>
    <w:rsid w:val="5CD05745"/>
    <w:rsid w:val="5CD43973"/>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7472DB"/>
    <w:rsid w:val="5F79112A"/>
    <w:rsid w:val="5F8A061B"/>
    <w:rsid w:val="5F8D1984"/>
    <w:rsid w:val="5F931EAC"/>
    <w:rsid w:val="5F9A5E4E"/>
    <w:rsid w:val="5FA15523"/>
    <w:rsid w:val="5FA6729F"/>
    <w:rsid w:val="5FB61550"/>
    <w:rsid w:val="5FC96B96"/>
    <w:rsid w:val="5FDC0215"/>
    <w:rsid w:val="60094960"/>
    <w:rsid w:val="604A1623"/>
    <w:rsid w:val="60565E02"/>
    <w:rsid w:val="6060299A"/>
    <w:rsid w:val="606840FC"/>
    <w:rsid w:val="60811B73"/>
    <w:rsid w:val="60A02DDC"/>
    <w:rsid w:val="60BA5344"/>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40D2154"/>
    <w:rsid w:val="643F135A"/>
    <w:rsid w:val="6443107F"/>
    <w:rsid w:val="644E09C0"/>
    <w:rsid w:val="644F41CB"/>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D00099"/>
    <w:rsid w:val="65E24FEA"/>
    <w:rsid w:val="65E473D6"/>
    <w:rsid w:val="65F4096B"/>
    <w:rsid w:val="661409C5"/>
    <w:rsid w:val="661855D0"/>
    <w:rsid w:val="664D4733"/>
    <w:rsid w:val="665172BE"/>
    <w:rsid w:val="6652593B"/>
    <w:rsid w:val="665F5347"/>
    <w:rsid w:val="6661636D"/>
    <w:rsid w:val="666A0801"/>
    <w:rsid w:val="6673681B"/>
    <w:rsid w:val="668C3684"/>
    <w:rsid w:val="66AA3E9D"/>
    <w:rsid w:val="66AF4DAC"/>
    <w:rsid w:val="66B6406F"/>
    <w:rsid w:val="66EE7BAF"/>
    <w:rsid w:val="67276355"/>
    <w:rsid w:val="674C7A59"/>
    <w:rsid w:val="676E05E9"/>
    <w:rsid w:val="67883671"/>
    <w:rsid w:val="678C4A9D"/>
    <w:rsid w:val="679727FC"/>
    <w:rsid w:val="67984B6D"/>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82EAE"/>
    <w:rsid w:val="6A442839"/>
    <w:rsid w:val="6A5C5FC7"/>
    <w:rsid w:val="6A7314DA"/>
    <w:rsid w:val="6A903588"/>
    <w:rsid w:val="6AAE1F8B"/>
    <w:rsid w:val="6AB44BE2"/>
    <w:rsid w:val="6ADB69B3"/>
    <w:rsid w:val="6AE2467F"/>
    <w:rsid w:val="6AF91C7B"/>
    <w:rsid w:val="6B071859"/>
    <w:rsid w:val="6B0D0D74"/>
    <w:rsid w:val="6B927B68"/>
    <w:rsid w:val="6BB1343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D676F3"/>
    <w:rsid w:val="6CE9581B"/>
    <w:rsid w:val="6D0B0567"/>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F6139B"/>
    <w:rsid w:val="70F6489B"/>
    <w:rsid w:val="70FD7FE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A0182E"/>
    <w:rsid w:val="73E55418"/>
    <w:rsid w:val="74041488"/>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371BE9"/>
    <w:rsid w:val="75484C21"/>
    <w:rsid w:val="75612B5C"/>
    <w:rsid w:val="75827CF7"/>
    <w:rsid w:val="759E0E7A"/>
    <w:rsid w:val="75D562B6"/>
    <w:rsid w:val="75F46443"/>
    <w:rsid w:val="762468AE"/>
    <w:rsid w:val="762933A9"/>
    <w:rsid w:val="767F0681"/>
    <w:rsid w:val="76967010"/>
    <w:rsid w:val="76994A03"/>
    <w:rsid w:val="769F120B"/>
    <w:rsid w:val="76BA3C84"/>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85E22"/>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A1922BA"/>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797300"/>
    <w:rsid w:val="7B815F5E"/>
    <w:rsid w:val="7B8A120C"/>
    <w:rsid w:val="7B8B4B71"/>
    <w:rsid w:val="7B8D3895"/>
    <w:rsid w:val="7BAF37C2"/>
    <w:rsid w:val="7BB2020E"/>
    <w:rsid w:val="7BB51E17"/>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932613"/>
    <w:rsid w:val="7CBB7C81"/>
    <w:rsid w:val="7CC40F03"/>
    <w:rsid w:val="7CD2039C"/>
    <w:rsid w:val="7CD21DA7"/>
    <w:rsid w:val="7D0D1348"/>
    <w:rsid w:val="7D2A5F70"/>
    <w:rsid w:val="7D2D60B4"/>
    <w:rsid w:val="7D403916"/>
    <w:rsid w:val="7D4653F4"/>
    <w:rsid w:val="7D474AC8"/>
    <w:rsid w:val="7D63567A"/>
    <w:rsid w:val="7D6458FE"/>
    <w:rsid w:val="7D6853B2"/>
    <w:rsid w:val="7D716AF0"/>
    <w:rsid w:val="7D736119"/>
    <w:rsid w:val="7D7864E4"/>
    <w:rsid w:val="7D951CD7"/>
    <w:rsid w:val="7D9C7257"/>
    <w:rsid w:val="7DB76FAF"/>
    <w:rsid w:val="7DCE31A9"/>
    <w:rsid w:val="7E250326"/>
    <w:rsid w:val="7E2D244A"/>
    <w:rsid w:val="7E513875"/>
    <w:rsid w:val="7E530EA4"/>
    <w:rsid w:val="7E57765B"/>
    <w:rsid w:val="7E5E15BA"/>
    <w:rsid w:val="7E690C76"/>
    <w:rsid w:val="7E6A5606"/>
    <w:rsid w:val="7E73538F"/>
    <w:rsid w:val="7E8777AF"/>
    <w:rsid w:val="7E880C06"/>
    <w:rsid w:val="7EA523AD"/>
    <w:rsid w:val="7EB44590"/>
    <w:rsid w:val="7EDC39FB"/>
    <w:rsid w:val="7EE0221A"/>
    <w:rsid w:val="7EE45AA0"/>
    <w:rsid w:val="7EF7251E"/>
    <w:rsid w:val="7EFB1D10"/>
    <w:rsid w:val="7F01651A"/>
    <w:rsid w:val="7F09481B"/>
    <w:rsid w:val="7F181FE7"/>
    <w:rsid w:val="7F2A7B51"/>
    <w:rsid w:val="7F2D239A"/>
    <w:rsid w:val="7F393B46"/>
    <w:rsid w:val="7F5C44C1"/>
    <w:rsid w:val="7F603F05"/>
    <w:rsid w:val="7F6A6612"/>
    <w:rsid w:val="7F7953A0"/>
    <w:rsid w:val="7F7D455D"/>
    <w:rsid w:val="7F850D0C"/>
    <w:rsid w:val="7F857DF0"/>
    <w:rsid w:val="7F89477F"/>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0"/>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7">
    <w:name w:val="Normal Indent"/>
    <w:basedOn w:val="1"/>
    <w:next w:val="1"/>
    <w:autoRedefine/>
    <w:qFormat/>
    <w:uiPriority w:val="99"/>
    <w:pPr>
      <w:ind w:firstLine="420"/>
    </w:pPr>
    <w:rPr>
      <w:szCs w:val="20"/>
    </w:rPr>
  </w:style>
  <w:style w:type="paragraph" w:styleId="8">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9">
    <w:name w:val="Document Map"/>
    <w:basedOn w:val="1"/>
    <w:autoRedefine/>
    <w:qFormat/>
    <w:uiPriority w:val="0"/>
    <w:rPr>
      <w:rFonts w:ascii="宋体"/>
      <w:sz w:val="18"/>
      <w:szCs w:val="18"/>
    </w:rPr>
  </w:style>
  <w:style w:type="paragraph" w:styleId="10">
    <w:name w:val="annotation text"/>
    <w:basedOn w:val="1"/>
    <w:link w:val="55"/>
    <w:autoRedefine/>
    <w:qFormat/>
    <w:uiPriority w:val="0"/>
    <w:pPr>
      <w:jc w:val="left"/>
    </w:pPr>
  </w:style>
  <w:style w:type="paragraph" w:styleId="11">
    <w:name w:val="Body Text"/>
    <w:basedOn w:val="1"/>
    <w:next w:val="12"/>
    <w:autoRedefine/>
    <w:qFormat/>
    <w:uiPriority w:val="0"/>
    <w:pPr>
      <w:tabs>
        <w:tab w:val="left" w:pos="0"/>
      </w:tabs>
    </w:pPr>
  </w:style>
  <w:style w:type="paragraph" w:styleId="12">
    <w:name w:val="Body Text First Indent"/>
    <w:basedOn w:val="11"/>
    <w:next w:val="1"/>
    <w:autoRedefine/>
    <w:qFormat/>
    <w:uiPriority w:val="0"/>
    <w:pPr>
      <w:spacing w:line="312" w:lineRule="auto"/>
      <w:ind w:firstLine="420"/>
    </w:pPr>
  </w:style>
  <w:style w:type="paragraph" w:styleId="13">
    <w:name w:val="Body Text Indent"/>
    <w:basedOn w:val="1"/>
    <w:next w:val="7"/>
    <w:autoRedefine/>
    <w:qFormat/>
    <w:uiPriority w:val="0"/>
    <w:pPr>
      <w:spacing w:after="120"/>
      <w:ind w:left="420" w:leftChars="200"/>
    </w:pPr>
  </w:style>
  <w:style w:type="paragraph" w:styleId="14">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5">
    <w:name w:val="toc 3"/>
    <w:basedOn w:val="1"/>
    <w:next w:val="1"/>
    <w:autoRedefine/>
    <w:qFormat/>
    <w:uiPriority w:val="0"/>
    <w:pPr>
      <w:ind w:left="840" w:leftChars="400"/>
    </w:pPr>
  </w:style>
  <w:style w:type="paragraph" w:styleId="16">
    <w:name w:val="Plain Text"/>
    <w:basedOn w:val="1"/>
    <w:next w:val="17"/>
    <w:autoRedefine/>
    <w:qFormat/>
    <w:uiPriority w:val="0"/>
    <w:rPr>
      <w:rFonts w:ascii="宋体" w:hAnsi="Courier New"/>
      <w:kern w:val="0"/>
      <w:sz w:val="20"/>
      <w:szCs w:val="21"/>
    </w:rPr>
  </w:style>
  <w:style w:type="paragraph" w:styleId="17">
    <w:name w:val="toc 2"/>
    <w:basedOn w:val="1"/>
    <w:next w:val="1"/>
    <w:autoRedefine/>
    <w:qFormat/>
    <w:uiPriority w:val="0"/>
    <w:pPr>
      <w:ind w:left="420" w:leftChars="200"/>
    </w:pPr>
  </w:style>
  <w:style w:type="paragraph" w:styleId="18">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9">
    <w:name w:val="Balloon Text"/>
    <w:basedOn w:val="1"/>
    <w:link w:val="57"/>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23"/>
    <w:next w:val="1"/>
    <w:autoRedefine/>
    <w:qFormat/>
    <w:uiPriority w:val="0"/>
    <w:pPr>
      <w:tabs>
        <w:tab w:val="right" w:leader="dot" w:pos="9118"/>
      </w:tabs>
      <w:spacing w:line="400" w:lineRule="exact"/>
    </w:pPr>
    <w:rPr>
      <w:szCs w:val="20"/>
    </w:rPr>
  </w:style>
  <w:style w:type="paragraph" w:styleId="23">
    <w:name w:val="index 1"/>
    <w:basedOn w:val="1"/>
    <w:next w:val="1"/>
    <w:autoRedefine/>
    <w:qFormat/>
    <w:uiPriority w:val="0"/>
    <w:pPr>
      <w:spacing w:line="220" w:lineRule="exact"/>
      <w:jc w:val="center"/>
    </w:pPr>
    <w:rPr>
      <w:rFonts w:ascii="仿宋_GB2312" w:eastAsia="仿宋_GB2312"/>
      <w:szCs w:val="21"/>
    </w:rPr>
  </w:style>
  <w:style w:type="paragraph" w:styleId="24">
    <w:name w:val="toc 6"/>
    <w:basedOn w:val="1"/>
    <w:next w:val="1"/>
    <w:autoRedefine/>
    <w:qFormat/>
    <w:uiPriority w:val="0"/>
    <w:pPr>
      <w:ind w:left="1050"/>
      <w:jc w:val="left"/>
    </w:pPr>
    <w:rPr>
      <w:rFonts w:ascii="Century Gothic" w:hAnsi="Century Gothic"/>
      <w:sz w:val="18"/>
      <w:szCs w:val="18"/>
    </w:rPr>
  </w:style>
  <w:style w:type="paragraph" w:styleId="25">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0"/>
    <w:next w:val="10"/>
    <w:link w:val="56"/>
    <w:autoRedefine/>
    <w:qFormat/>
    <w:uiPriority w:val="0"/>
    <w:rPr>
      <w:b/>
      <w:bCs/>
    </w:rPr>
  </w:style>
  <w:style w:type="paragraph" w:styleId="30">
    <w:name w:val="Body Text First Indent 2"/>
    <w:basedOn w:val="13"/>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6"/>
    <w:next w:val="11"/>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4"/>
    <w:link w:val="10"/>
    <w:autoRedefine/>
    <w:qFormat/>
    <w:uiPriority w:val="0"/>
    <w:rPr>
      <w:rFonts w:ascii="Calibri" w:hAnsi="Calibri" w:eastAsia="宋体" w:cs="黑体"/>
      <w:kern w:val="2"/>
      <w:sz w:val="21"/>
      <w:szCs w:val="24"/>
    </w:rPr>
  </w:style>
  <w:style w:type="character" w:customStyle="1" w:styleId="56">
    <w:name w:val="批注主题 Char"/>
    <w:basedOn w:val="55"/>
    <w:link w:val="29"/>
    <w:autoRedefine/>
    <w:qFormat/>
    <w:uiPriority w:val="0"/>
    <w:rPr>
      <w:rFonts w:ascii="Calibri" w:hAnsi="Calibri" w:eastAsia="宋体" w:cs="黑体"/>
      <w:b/>
      <w:bCs/>
      <w:kern w:val="2"/>
      <w:sz w:val="21"/>
      <w:szCs w:val="24"/>
    </w:rPr>
  </w:style>
  <w:style w:type="character" w:customStyle="1" w:styleId="57">
    <w:name w:val="批注框文本 Char"/>
    <w:basedOn w:val="34"/>
    <w:link w:val="19"/>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link w:val="1"/>
    <w:autoRedefine/>
    <w:qFormat/>
    <w:uiPriority w:val="0"/>
    <w:rPr>
      <w:rFonts w:ascii="Calibri" w:hAnsi="Calibri" w:eastAsia="宋体" w:cs="黑体"/>
      <w:kern w:val="2"/>
      <w:sz w:val="21"/>
      <w:szCs w:val="24"/>
      <w:lang w:val="en-US" w:eastAsia="zh-CN" w:bidi="ar-SA"/>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5"/>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
    <w:basedOn w:val="1"/>
    <w:autoRedefine/>
    <w:qFormat/>
    <w:uiPriority w:val="34"/>
    <w:pPr>
      <w:ind w:firstLine="420" w:firstLineChars="200"/>
    </w:pPr>
  </w:style>
  <w:style w:type="character" w:customStyle="1" w:styleId="97">
    <w:name w:val="字元 字元5"/>
    <w:qFormat/>
    <w:locked/>
    <w:uiPriority w:val="0"/>
    <w:rPr>
      <w:rFonts w:ascii="Arial" w:hAnsi="Arial" w:eastAsia="Times New Roman" w:cs="Times New Roman"/>
      <w:lang w:val="en-GB"/>
    </w:rPr>
  </w:style>
  <w:style w:type="paragraph" w:customStyle="1" w:styleId="98">
    <w:name w:val="Table Text"/>
    <w:semiHidden/>
    <w:qFormat/>
    <w:uiPriority w:val="0"/>
    <w:pPr>
      <w:widowControl w:val="0"/>
      <w:jc w:val="both"/>
    </w:pPr>
    <w:rPr>
      <w:rFonts w:ascii="新宋体" w:hAnsi="新宋体" w:eastAsia="新宋体" w:cs="新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57</Pages>
  <Words>2428</Words>
  <Characters>2746</Characters>
  <Lines>268</Lines>
  <Paragraphs>75</Paragraphs>
  <TotalTime>0</TotalTime>
  <ScaleCrop>false</ScaleCrop>
  <LinksUpToDate>false</LinksUpToDate>
  <CharactersWithSpaces>3190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Le.YonG.</cp:lastModifiedBy>
  <cp:lastPrinted>2025-08-14T02:04:00Z</cp:lastPrinted>
  <dcterms:modified xsi:type="dcterms:W3CDTF">2025-11-07T05:18:31Z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439F521D30E34364A2047289B9872D77_13</vt:lpwstr>
  </property>
  <property fmtid="{D5CDD505-2E9C-101B-9397-08002B2CF9AE}" pid="4" name="KSOTemplateDocerSaveRecord">
    <vt:lpwstr>eyJoZGlkIjoiMGVhODIxNjZhYTlkOWZhY2IxZjJiNjhkODg5MGUwN2EiLCJ1c2VySWQiOiIyODM3OTY2MjMifQ==</vt:lpwstr>
  </property>
</Properties>
</file>